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48A7" w14:textId="77777777" w:rsidR="00D92E40" w:rsidRDefault="00D92E40" w:rsidP="00D92E40">
      <w:pPr>
        <w:pStyle w:val="OMBInfo"/>
      </w:pPr>
      <w:bookmarkStart w:id="0" w:name="_GoBack"/>
      <w:bookmarkEnd w:id="0"/>
      <w:r>
        <w:t>OMB No. 0925-0046 (Approved Through 5/31/2016)</w:t>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54471F" w14:paraId="57FB48AA" w14:textId="77777777">
        <w:trPr>
          <w:trHeight w:hRule="exact" w:val="979"/>
          <w:jc w:val="center"/>
        </w:trPr>
        <w:tc>
          <w:tcPr>
            <w:tcW w:w="10656" w:type="dxa"/>
            <w:gridSpan w:val="5"/>
            <w:tcBorders>
              <w:top w:val="single" w:sz="6" w:space="0" w:color="auto"/>
              <w:left w:val="nil"/>
              <w:bottom w:val="single" w:sz="6" w:space="0" w:color="auto"/>
              <w:right w:val="nil"/>
            </w:tcBorders>
            <w:vAlign w:val="bottom"/>
          </w:tcPr>
          <w:p w14:paraId="57FB48A8" w14:textId="77777777" w:rsidR="0054471F" w:rsidRDefault="0054471F">
            <w:pPr>
              <w:pStyle w:val="Heading1"/>
            </w:pPr>
            <w:r>
              <w:t>BIOGRAPHICAL SKETCH</w:t>
            </w:r>
            <w:r w:rsidR="00D92E40">
              <w:t>—</w:t>
            </w:r>
            <w:r w:rsidR="00D92E40" w:rsidRPr="00694F0D">
              <w:rPr>
                <w:i/>
              </w:rPr>
              <w:t>Pilot Format (To Be Used for Specific FOAs only)</w:t>
            </w:r>
          </w:p>
          <w:p w14:paraId="57FB48A9" w14:textId="77777777" w:rsidR="0054471F" w:rsidRPr="00F7284D" w:rsidRDefault="0054471F" w:rsidP="00D92E40">
            <w:pPr>
              <w:pStyle w:val="HeadingNote"/>
            </w:pPr>
            <w:r w:rsidRPr="00F7284D">
              <w:t xml:space="preserve">Provide the following information for the </w:t>
            </w:r>
            <w:r w:rsidR="0014571A" w:rsidRPr="00F7284D">
              <w:t>Senior/</w:t>
            </w:r>
            <w:r w:rsidRPr="00F7284D">
              <w:t xml:space="preserve">key personnel </w:t>
            </w:r>
            <w:r w:rsidR="00934124" w:rsidRPr="00F7284D">
              <w:t>and</w:t>
            </w:r>
            <w:r w:rsidR="003C62D6" w:rsidRPr="00F7284D">
              <w:t xml:space="preserve"> other significant contributors</w:t>
            </w:r>
            <w:r w:rsidRPr="00F7284D">
              <w:t>.</w:t>
            </w:r>
            <w:r w:rsidRPr="00F7284D">
              <w:br w:type="textWrapping" w:clear="all"/>
              <w:t xml:space="preserve">Follow this format for each person.  </w:t>
            </w:r>
            <w:r w:rsidRPr="00656AB8">
              <w:rPr>
                <w:b/>
              </w:rPr>
              <w:t xml:space="preserve">DO NOT EXCEED </w:t>
            </w:r>
            <w:r w:rsidR="00D92E40">
              <w:rPr>
                <w:b/>
              </w:rPr>
              <w:t>FIVE</w:t>
            </w:r>
            <w:r w:rsidRPr="00656AB8">
              <w:rPr>
                <w:b/>
              </w:rPr>
              <w:t xml:space="preserve"> PAGES.</w:t>
            </w:r>
          </w:p>
        </w:tc>
      </w:tr>
      <w:tr w:rsidR="0054471F" w14:paraId="57FB48AC" w14:textId="77777777">
        <w:trPr>
          <w:trHeight w:hRule="exact" w:val="216"/>
          <w:jc w:val="center"/>
        </w:trPr>
        <w:tc>
          <w:tcPr>
            <w:tcW w:w="10656" w:type="dxa"/>
            <w:gridSpan w:val="5"/>
            <w:tcBorders>
              <w:top w:val="single" w:sz="6" w:space="0" w:color="auto"/>
              <w:left w:val="nil"/>
              <w:bottom w:val="single" w:sz="6" w:space="0" w:color="auto"/>
              <w:right w:val="nil"/>
            </w:tcBorders>
          </w:tcPr>
          <w:p w14:paraId="57FB48AB" w14:textId="77777777" w:rsidR="0054471F" w:rsidRDefault="0054471F">
            <w:pPr>
              <w:jc w:val="center"/>
              <w:rPr>
                <w:rFonts w:cs="Arial"/>
                <w:sz w:val="20"/>
                <w:szCs w:val="20"/>
              </w:rPr>
            </w:pPr>
          </w:p>
        </w:tc>
      </w:tr>
      <w:tr w:rsidR="009F72E5" w14:paraId="57FB48B2" w14:textId="77777777">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57FB48AD" w14:textId="77777777" w:rsidR="009F72E5" w:rsidRDefault="009F72E5">
            <w:pPr>
              <w:pStyle w:val="FormFieldCaption"/>
            </w:pPr>
            <w:r>
              <w:t>NAME</w:t>
            </w:r>
          </w:p>
          <w:p w14:paraId="57FB48AE" w14:textId="77777777" w:rsidR="009F72E5" w:rsidRDefault="00822EBA" w:rsidP="00822EBA">
            <w:pPr>
              <w:pStyle w:val="DataField11pt-Single"/>
              <w:tabs>
                <w:tab w:val="left" w:pos="1785"/>
              </w:tabs>
            </w:pPr>
            <w:r>
              <w:rPr>
                <w:rFonts w:cs="Times New Roman"/>
                <w:szCs w:val="22"/>
              </w:rPr>
              <w:t xml:space="preserve">Frank </w:t>
            </w:r>
            <w:r w:rsidRPr="00FC165F">
              <w:rPr>
                <w:rFonts w:cs="Times New Roman"/>
                <w:szCs w:val="22"/>
              </w:rPr>
              <w:t>McCormick, Ph.D., F.R.S.</w:t>
            </w:r>
          </w:p>
        </w:tc>
        <w:tc>
          <w:tcPr>
            <w:tcW w:w="5328" w:type="dxa"/>
            <w:gridSpan w:val="3"/>
            <w:vMerge w:val="restart"/>
            <w:tcBorders>
              <w:top w:val="single" w:sz="6" w:space="0" w:color="auto"/>
              <w:left w:val="nil"/>
              <w:right w:val="nil"/>
            </w:tcBorders>
            <w:tcMar>
              <w:top w:w="14" w:type="dxa"/>
              <w:bottom w:w="14" w:type="dxa"/>
            </w:tcMar>
          </w:tcPr>
          <w:p w14:paraId="57FB48AF" w14:textId="77777777" w:rsidR="009F72E5" w:rsidRDefault="009F72E5">
            <w:pPr>
              <w:pStyle w:val="FormFieldCaption"/>
            </w:pPr>
            <w:r>
              <w:t>POSITION TITLE</w:t>
            </w:r>
          </w:p>
          <w:p w14:paraId="57FB48B0" w14:textId="77777777" w:rsidR="009F72E5" w:rsidRDefault="00822EBA">
            <w:pPr>
              <w:pStyle w:val="DataField11pt-Single"/>
            </w:pPr>
            <w:r>
              <w:t>Professor Emeritus, Helen Diller Family Comprehensive Cancer Center</w:t>
            </w:r>
          </w:p>
          <w:p w14:paraId="57FB48B1" w14:textId="77777777" w:rsidR="00822EBA" w:rsidRDefault="00822EBA">
            <w:pPr>
              <w:pStyle w:val="DataField11pt-Single"/>
            </w:pPr>
            <w:r>
              <w:t>Professor Emeritus of Microbiology &amp; Immunology</w:t>
            </w:r>
          </w:p>
        </w:tc>
      </w:tr>
      <w:tr w:rsidR="009F72E5" w14:paraId="57FB48B6" w14:textId="77777777">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57FB48B3" w14:textId="77777777" w:rsidR="009F72E5" w:rsidRDefault="005C2BDD">
            <w:pPr>
              <w:pStyle w:val="FormFieldCaption"/>
            </w:pPr>
            <w:r>
              <w:t>eRA</w:t>
            </w:r>
            <w:r w:rsidR="006C1E1F">
              <w:t xml:space="preserve"> </w:t>
            </w:r>
            <w:r w:rsidR="009F72E5">
              <w:t>COMMONS USER NAME</w:t>
            </w:r>
            <w:r w:rsidR="00447F3A">
              <w:t xml:space="preserve"> (credential, e.g., agency login)</w:t>
            </w:r>
          </w:p>
          <w:p w14:paraId="57FB48B4" w14:textId="77777777" w:rsidR="009F72E5" w:rsidRDefault="00822EBA" w:rsidP="009F72E5">
            <w:pPr>
              <w:pStyle w:val="DataField11pt-Single"/>
            </w:pPr>
            <w:r>
              <w:t>MCCORMICKF</w:t>
            </w:r>
          </w:p>
        </w:tc>
        <w:tc>
          <w:tcPr>
            <w:tcW w:w="5328" w:type="dxa"/>
            <w:gridSpan w:val="3"/>
            <w:vMerge/>
            <w:tcBorders>
              <w:left w:val="nil"/>
              <w:bottom w:val="single" w:sz="6" w:space="0" w:color="auto"/>
              <w:right w:val="nil"/>
            </w:tcBorders>
            <w:tcMar>
              <w:top w:w="14" w:type="dxa"/>
              <w:bottom w:w="14" w:type="dxa"/>
            </w:tcMar>
          </w:tcPr>
          <w:p w14:paraId="57FB48B5" w14:textId="77777777" w:rsidR="009F72E5" w:rsidRDefault="009F72E5">
            <w:pPr>
              <w:pStyle w:val="FormFieldCaption"/>
            </w:pPr>
          </w:p>
        </w:tc>
      </w:tr>
      <w:tr w:rsidR="0054471F" w14:paraId="57FB48B8" w14:textId="77777777" w:rsidTr="0014571A">
        <w:trPr>
          <w:trHeight w:hRule="exact" w:val="438"/>
          <w:jc w:val="center"/>
        </w:trPr>
        <w:tc>
          <w:tcPr>
            <w:tcW w:w="10656" w:type="dxa"/>
            <w:gridSpan w:val="5"/>
            <w:tcBorders>
              <w:left w:val="nil"/>
              <w:bottom w:val="single" w:sz="6" w:space="0" w:color="auto"/>
            </w:tcBorders>
            <w:vAlign w:val="center"/>
          </w:tcPr>
          <w:p w14:paraId="57FB48B7" w14:textId="77777777" w:rsidR="0054471F" w:rsidRDefault="0037667F" w:rsidP="00F7284D">
            <w:pPr>
              <w:pStyle w:val="FormFieldCaption"/>
            </w:pPr>
            <w:r>
              <w:t xml:space="preserve">EDUCATION/TRAINING </w:t>
            </w:r>
            <w:r w:rsidR="0054471F">
              <w:rPr>
                <w:i/>
                <w:iCs/>
              </w:rPr>
              <w:t>(Begin with baccalaureate or other initial professional education, such as nursing, include postdoctoral training</w:t>
            </w:r>
            <w:r w:rsidR="0014571A">
              <w:rPr>
                <w:i/>
                <w:iCs/>
              </w:rPr>
              <w:t xml:space="preserve"> and residency training if applicable</w:t>
            </w:r>
            <w:r w:rsidR="0054471F">
              <w:rPr>
                <w:i/>
                <w:iCs/>
              </w:rPr>
              <w:t>.)</w:t>
            </w:r>
          </w:p>
        </w:tc>
      </w:tr>
      <w:tr w:rsidR="0054471F" w14:paraId="57FB48BE" w14:textId="77777777">
        <w:trPr>
          <w:jc w:val="center"/>
        </w:trPr>
        <w:tc>
          <w:tcPr>
            <w:tcW w:w="5058" w:type="dxa"/>
            <w:tcBorders>
              <w:top w:val="single" w:sz="6" w:space="0" w:color="auto"/>
              <w:left w:val="nil"/>
              <w:bottom w:val="single" w:sz="6" w:space="0" w:color="auto"/>
              <w:right w:val="single" w:sz="6" w:space="0" w:color="auto"/>
            </w:tcBorders>
            <w:vAlign w:val="center"/>
          </w:tcPr>
          <w:p w14:paraId="57FB48B9" w14:textId="77777777"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57FB48BA" w14:textId="77777777" w:rsidR="0054471F" w:rsidRDefault="0054471F">
            <w:pPr>
              <w:pStyle w:val="FormFieldCaption"/>
              <w:jc w:val="center"/>
            </w:pPr>
            <w:r>
              <w:t>DEGREE</w:t>
            </w:r>
          </w:p>
          <w:p w14:paraId="57FB48BB" w14:textId="77777777" w:rsidR="0054471F" w:rsidRDefault="0054471F">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57FB48BC" w14:textId="77777777"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14:paraId="57FB48BD" w14:textId="77777777" w:rsidR="0054471F" w:rsidRDefault="0054471F">
            <w:pPr>
              <w:pStyle w:val="FormFieldCaption"/>
              <w:jc w:val="center"/>
            </w:pPr>
            <w:r>
              <w:t>FIELD OF STUDY</w:t>
            </w:r>
          </w:p>
        </w:tc>
      </w:tr>
      <w:tr w:rsidR="0054471F" w14:paraId="57FB48C3" w14:textId="77777777" w:rsidTr="009B2D50">
        <w:trPr>
          <w:jc w:val="center"/>
        </w:trPr>
        <w:tc>
          <w:tcPr>
            <w:tcW w:w="5058" w:type="dxa"/>
            <w:tcBorders>
              <w:top w:val="single" w:sz="6" w:space="0" w:color="auto"/>
              <w:left w:val="nil"/>
              <w:right w:val="single" w:sz="4" w:space="0" w:color="auto"/>
            </w:tcBorders>
            <w:vAlign w:val="center"/>
          </w:tcPr>
          <w:p w14:paraId="57FB48BF" w14:textId="77777777" w:rsidR="0054471F" w:rsidRDefault="00822EBA" w:rsidP="00D679E5">
            <w:pPr>
              <w:pStyle w:val="DataField11pt-Single"/>
            </w:pPr>
            <w:r>
              <w:t>University of Birmingham, England</w:t>
            </w:r>
          </w:p>
        </w:tc>
        <w:tc>
          <w:tcPr>
            <w:tcW w:w="1511" w:type="dxa"/>
            <w:gridSpan w:val="2"/>
            <w:tcBorders>
              <w:top w:val="single" w:sz="6" w:space="0" w:color="auto"/>
              <w:left w:val="single" w:sz="4" w:space="0" w:color="auto"/>
              <w:right w:val="single" w:sz="4" w:space="0" w:color="auto"/>
            </w:tcBorders>
            <w:vAlign w:val="center"/>
          </w:tcPr>
          <w:p w14:paraId="57FB48C0" w14:textId="77777777" w:rsidR="0054471F" w:rsidRDefault="00822EBA" w:rsidP="00D679E5">
            <w:pPr>
              <w:pStyle w:val="DataField11pt-Single"/>
              <w:jc w:val="center"/>
            </w:pPr>
            <w:r>
              <w:t>B.Sc.</w:t>
            </w:r>
          </w:p>
        </w:tc>
        <w:tc>
          <w:tcPr>
            <w:tcW w:w="1422" w:type="dxa"/>
            <w:tcBorders>
              <w:top w:val="single" w:sz="6" w:space="0" w:color="auto"/>
              <w:left w:val="single" w:sz="4" w:space="0" w:color="auto"/>
              <w:right w:val="single" w:sz="4" w:space="0" w:color="auto"/>
            </w:tcBorders>
            <w:vAlign w:val="center"/>
          </w:tcPr>
          <w:p w14:paraId="57FB48C1" w14:textId="77777777" w:rsidR="0054471F" w:rsidRDefault="00822EBA" w:rsidP="00D679E5">
            <w:pPr>
              <w:pStyle w:val="DataField11pt-Single"/>
              <w:jc w:val="center"/>
            </w:pPr>
            <w:r>
              <w:t>07/72</w:t>
            </w:r>
          </w:p>
        </w:tc>
        <w:tc>
          <w:tcPr>
            <w:tcW w:w="2665" w:type="dxa"/>
            <w:tcBorders>
              <w:top w:val="single" w:sz="6" w:space="0" w:color="auto"/>
              <w:left w:val="single" w:sz="4" w:space="0" w:color="auto"/>
              <w:right w:val="nil"/>
            </w:tcBorders>
            <w:vAlign w:val="center"/>
          </w:tcPr>
          <w:p w14:paraId="57FB48C2" w14:textId="77777777" w:rsidR="0054471F" w:rsidRDefault="00822EBA" w:rsidP="00D679E5">
            <w:pPr>
              <w:pStyle w:val="DataField11pt-Single"/>
            </w:pPr>
            <w:r>
              <w:t>Biochemistry</w:t>
            </w:r>
          </w:p>
        </w:tc>
      </w:tr>
      <w:tr w:rsidR="0054471F" w14:paraId="57FB48C8" w14:textId="77777777" w:rsidTr="009B2D50">
        <w:trPr>
          <w:jc w:val="center"/>
        </w:trPr>
        <w:tc>
          <w:tcPr>
            <w:tcW w:w="5058" w:type="dxa"/>
            <w:tcBorders>
              <w:top w:val="nil"/>
              <w:left w:val="nil"/>
              <w:bottom w:val="single" w:sz="6" w:space="0" w:color="auto"/>
              <w:right w:val="single" w:sz="4" w:space="0" w:color="auto"/>
            </w:tcBorders>
            <w:vAlign w:val="center"/>
          </w:tcPr>
          <w:p w14:paraId="57FB48C4" w14:textId="77777777" w:rsidR="0054471F" w:rsidRDefault="00822EBA" w:rsidP="00D679E5">
            <w:pPr>
              <w:pStyle w:val="DataField11pt-Single"/>
            </w:pPr>
            <w:r>
              <w:t>University of Cambridge, England</w:t>
            </w:r>
          </w:p>
        </w:tc>
        <w:tc>
          <w:tcPr>
            <w:tcW w:w="1511" w:type="dxa"/>
            <w:gridSpan w:val="2"/>
            <w:tcBorders>
              <w:top w:val="nil"/>
              <w:left w:val="single" w:sz="4" w:space="0" w:color="auto"/>
              <w:bottom w:val="single" w:sz="6" w:space="0" w:color="auto"/>
              <w:right w:val="single" w:sz="4" w:space="0" w:color="auto"/>
            </w:tcBorders>
            <w:vAlign w:val="center"/>
          </w:tcPr>
          <w:p w14:paraId="57FB48C5" w14:textId="77777777" w:rsidR="0054471F" w:rsidRDefault="00822EBA" w:rsidP="00D679E5">
            <w:pPr>
              <w:pStyle w:val="DataField11pt-Single"/>
              <w:jc w:val="center"/>
            </w:pPr>
            <w:r>
              <w:t>Ph.D.</w:t>
            </w:r>
          </w:p>
        </w:tc>
        <w:tc>
          <w:tcPr>
            <w:tcW w:w="1422" w:type="dxa"/>
            <w:tcBorders>
              <w:top w:val="nil"/>
              <w:left w:val="single" w:sz="4" w:space="0" w:color="auto"/>
              <w:bottom w:val="single" w:sz="6" w:space="0" w:color="auto"/>
              <w:right w:val="single" w:sz="4" w:space="0" w:color="auto"/>
            </w:tcBorders>
            <w:vAlign w:val="center"/>
          </w:tcPr>
          <w:p w14:paraId="57FB48C6" w14:textId="77777777" w:rsidR="0054471F" w:rsidRDefault="00822EBA" w:rsidP="00D679E5">
            <w:pPr>
              <w:pStyle w:val="DataField11pt-Single"/>
              <w:jc w:val="center"/>
            </w:pPr>
            <w:r>
              <w:t>07/75</w:t>
            </w:r>
          </w:p>
        </w:tc>
        <w:tc>
          <w:tcPr>
            <w:tcW w:w="2665" w:type="dxa"/>
            <w:tcBorders>
              <w:top w:val="nil"/>
              <w:left w:val="single" w:sz="4" w:space="0" w:color="auto"/>
              <w:bottom w:val="single" w:sz="6" w:space="0" w:color="auto"/>
              <w:right w:val="nil"/>
            </w:tcBorders>
            <w:vAlign w:val="center"/>
          </w:tcPr>
          <w:p w14:paraId="57FB48C7" w14:textId="77777777" w:rsidR="0054471F" w:rsidRDefault="00822EBA" w:rsidP="00D679E5">
            <w:pPr>
              <w:pStyle w:val="DataField11pt-Single"/>
            </w:pPr>
            <w:r>
              <w:t>Biochemistry</w:t>
            </w:r>
          </w:p>
        </w:tc>
      </w:tr>
    </w:tbl>
    <w:p w14:paraId="57FB48C9" w14:textId="77777777" w:rsidR="00822EBA" w:rsidRDefault="00822EBA" w:rsidP="009E2905">
      <w:pPr>
        <w:pStyle w:val="Heading2"/>
        <w:spacing w:before="120"/>
      </w:pPr>
      <w:r w:rsidRPr="003949F8">
        <w:t>A.</w:t>
      </w:r>
      <w:r w:rsidRPr="003949F8">
        <w:tab/>
        <w:t>Personal Statement</w:t>
      </w:r>
    </w:p>
    <w:p w14:paraId="57FB48CA" w14:textId="77777777" w:rsidR="00026F92" w:rsidRPr="009B2D50" w:rsidRDefault="00B62CA9" w:rsidP="00026F92">
      <w:pPr>
        <w:jc w:val="both"/>
        <w:rPr>
          <w:rFonts w:cs="Arial"/>
          <w:szCs w:val="22"/>
        </w:rPr>
      </w:pPr>
      <w:r>
        <w:rPr>
          <w:rFonts w:cs="Arial"/>
          <w:szCs w:val="22"/>
        </w:rPr>
        <w:t>My lab has taken</w:t>
      </w:r>
      <w:r w:rsidR="000C023F" w:rsidRPr="009B2D50">
        <w:rPr>
          <w:rFonts w:cs="Arial"/>
          <w:szCs w:val="22"/>
        </w:rPr>
        <w:t xml:space="preserve"> biochemical</w:t>
      </w:r>
      <w:r>
        <w:rPr>
          <w:rFonts w:cs="Arial"/>
          <w:szCs w:val="22"/>
        </w:rPr>
        <w:t xml:space="preserve"> and </w:t>
      </w:r>
      <w:r w:rsidR="004F64A7">
        <w:rPr>
          <w:rFonts w:cs="Arial"/>
          <w:szCs w:val="22"/>
        </w:rPr>
        <w:t xml:space="preserve">genetic </w:t>
      </w:r>
      <w:r w:rsidR="004F64A7" w:rsidRPr="009B2D50">
        <w:rPr>
          <w:rFonts w:cs="Arial"/>
          <w:szCs w:val="22"/>
        </w:rPr>
        <w:t>approaches</w:t>
      </w:r>
      <w:r>
        <w:rPr>
          <w:rFonts w:cs="Arial"/>
          <w:szCs w:val="22"/>
        </w:rPr>
        <w:t xml:space="preserve"> to developing therapies for cancer. </w:t>
      </w:r>
      <w:r w:rsidR="00496B31" w:rsidRPr="009B2D50">
        <w:rPr>
          <w:rFonts w:cs="Arial"/>
          <w:szCs w:val="22"/>
        </w:rPr>
        <w:t>My group made a number of other contributions to Ras biology and biochemistry</w:t>
      </w:r>
      <w:r>
        <w:rPr>
          <w:rFonts w:cs="Arial"/>
          <w:szCs w:val="22"/>
        </w:rPr>
        <w:t>, including the discovery of GTPase Activating Proteins</w:t>
      </w:r>
      <w:r w:rsidR="004F64A7">
        <w:rPr>
          <w:rFonts w:cs="Arial"/>
          <w:szCs w:val="22"/>
        </w:rPr>
        <w:t xml:space="preserve">, </w:t>
      </w:r>
      <w:r w:rsidR="004F64A7" w:rsidRPr="009B2D50">
        <w:rPr>
          <w:rFonts w:cs="Arial"/>
          <w:szCs w:val="22"/>
        </w:rPr>
        <w:t>and</w:t>
      </w:r>
      <w:r w:rsidR="00496B31" w:rsidRPr="009B2D50">
        <w:rPr>
          <w:rFonts w:cs="Arial"/>
          <w:szCs w:val="22"/>
        </w:rPr>
        <w:t xml:space="preserve"> </w:t>
      </w:r>
      <w:r w:rsidR="005E733D" w:rsidRPr="009B2D50">
        <w:rPr>
          <w:rFonts w:cs="Arial"/>
          <w:szCs w:val="22"/>
        </w:rPr>
        <w:t>we launched an effort to discover drugs that block mutant Ras. The central</w:t>
      </w:r>
      <w:r w:rsidR="005E5B25">
        <w:rPr>
          <w:rFonts w:cs="Arial"/>
          <w:szCs w:val="22"/>
        </w:rPr>
        <w:t xml:space="preserve"> </w:t>
      </w:r>
      <w:r w:rsidR="005E733D" w:rsidRPr="009B2D50">
        <w:rPr>
          <w:rFonts w:cs="Arial"/>
          <w:szCs w:val="22"/>
        </w:rPr>
        <w:t>part of this effort was an NCI National Cooperative Drug Development</w:t>
      </w:r>
      <w:r w:rsidR="005E5B25">
        <w:rPr>
          <w:rFonts w:cs="Arial"/>
          <w:szCs w:val="22"/>
        </w:rPr>
        <w:t xml:space="preserve"> Grant, of which I was PI. Co</w:t>
      </w:r>
      <w:r w:rsidR="005E733D" w:rsidRPr="009B2D50">
        <w:rPr>
          <w:rFonts w:cs="Arial"/>
          <w:szCs w:val="22"/>
        </w:rPr>
        <w:t>-PIs were Drs</w:t>
      </w:r>
      <w:r w:rsidR="009E2905">
        <w:rPr>
          <w:rFonts w:cs="Arial"/>
          <w:szCs w:val="22"/>
        </w:rPr>
        <w:t>.</w:t>
      </w:r>
      <w:r w:rsidR="005E733D" w:rsidRPr="009B2D50">
        <w:rPr>
          <w:rFonts w:cs="Arial"/>
          <w:szCs w:val="22"/>
        </w:rPr>
        <w:t xml:space="preserve"> Wittinghofer (Max Planck), Redfield</w:t>
      </w:r>
      <w:r w:rsidR="005E5B25">
        <w:rPr>
          <w:rFonts w:cs="Arial"/>
          <w:szCs w:val="22"/>
        </w:rPr>
        <w:t xml:space="preserve"> (Brandeis), and Wood (Hoffmann-</w:t>
      </w:r>
      <w:r w:rsidR="005E733D" w:rsidRPr="009B2D50">
        <w:rPr>
          <w:rFonts w:cs="Arial"/>
          <w:szCs w:val="22"/>
        </w:rPr>
        <w:t>La Roche).  I</w:t>
      </w:r>
      <w:r w:rsidR="00496B31" w:rsidRPr="009B2D50">
        <w:rPr>
          <w:rFonts w:cs="Arial"/>
          <w:szCs w:val="22"/>
        </w:rPr>
        <w:t xml:space="preserve">n 1992, I co-founded ONYX Pharmaceuticals, to </w:t>
      </w:r>
      <w:r w:rsidR="005E733D" w:rsidRPr="009B2D50">
        <w:rPr>
          <w:rFonts w:cs="Arial"/>
          <w:szCs w:val="22"/>
        </w:rPr>
        <w:t>increase our</w:t>
      </w:r>
      <w:r w:rsidR="00496B31" w:rsidRPr="009B2D50">
        <w:rPr>
          <w:rFonts w:cs="Arial"/>
          <w:szCs w:val="22"/>
        </w:rPr>
        <w:t xml:space="preserve"> effort</w:t>
      </w:r>
      <w:r w:rsidR="005E733D" w:rsidRPr="009B2D50">
        <w:rPr>
          <w:rFonts w:cs="Arial"/>
          <w:szCs w:val="22"/>
        </w:rPr>
        <w:t>s</w:t>
      </w:r>
      <w:r w:rsidR="00496B31" w:rsidRPr="009B2D50">
        <w:rPr>
          <w:rFonts w:cs="Arial"/>
          <w:szCs w:val="22"/>
        </w:rPr>
        <w:t xml:space="preserve"> to find therapies for Ras cancers. We also started programs in p53, Rb, APC amongst other areas, but the Ras project was the primary focus. I chose Raf kinase as our first target as it was known to be downstream from Ras, though its direct interaction with Ras was not discovered until</w:t>
      </w:r>
      <w:r w:rsidR="005E733D" w:rsidRPr="009B2D50">
        <w:rPr>
          <w:rFonts w:cs="Arial"/>
          <w:szCs w:val="22"/>
        </w:rPr>
        <w:t xml:space="preserve"> 1993. We developed Sorafenib, the first</w:t>
      </w:r>
      <w:r w:rsidR="00496B31" w:rsidRPr="009B2D50">
        <w:rPr>
          <w:rFonts w:cs="Arial"/>
          <w:szCs w:val="22"/>
        </w:rPr>
        <w:t xml:space="preserve"> </w:t>
      </w:r>
      <w:r w:rsidR="005E733D" w:rsidRPr="009B2D50">
        <w:rPr>
          <w:rFonts w:cs="Arial"/>
          <w:szCs w:val="22"/>
        </w:rPr>
        <w:t xml:space="preserve">Raf kinase inhibitor to enter the clinic. This drug </w:t>
      </w:r>
      <w:r w:rsidR="00496B31" w:rsidRPr="009B2D50">
        <w:rPr>
          <w:rFonts w:cs="Arial"/>
          <w:szCs w:val="22"/>
        </w:rPr>
        <w:t>has been extremely successful and has been approved for treating renal cel</w:t>
      </w:r>
      <w:r w:rsidR="005E5B25">
        <w:rPr>
          <w:rFonts w:cs="Arial"/>
          <w:szCs w:val="22"/>
        </w:rPr>
        <w:t>l cancer, hepatocellular cancer and</w:t>
      </w:r>
      <w:r w:rsidR="00496B31" w:rsidRPr="009B2D50">
        <w:rPr>
          <w:rFonts w:cs="Arial"/>
          <w:szCs w:val="22"/>
        </w:rPr>
        <w:t xml:space="preserve"> thyroid cancer. However, Sorafenib was not active </w:t>
      </w:r>
      <w:r w:rsidR="005E5B25">
        <w:rPr>
          <w:rFonts w:cs="Arial"/>
          <w:szCs w:val="22"/>
        </w:rPr>
        <w:t xml:space="preserve">against cancers with mutant Ras for reasons that we did not understand,  </w:t>
      </w:r>
      <w:r w:rsidR="00496B31" w:rsidRPr="009B2D50">
        <w:rPr>
          <w:rFonts w:cs="Arial"/>
          <w:szCs w:val="22"/>
        </w:rPr>
        <w:t xml:space="preserve"> </w:t>
      </w:r>
      <w:r w:rsidR="005E5B25">
        <w:rPr>
          <w:rFonts w:cs="Arial"/>
          <w:szCs w:val="22"/>
        </w:rPr>
        <w:t>as</w:t>
      </w:r>
      <w:r w:rsidR="00496B31" w:rsidRPr="009B2D50">
        <w:rPr>
          <w:rFonts w:cs="Arial"/>
          <w:szCs w:val="22"/>
        </w:rPr>
        <w:t xml:space="preserve"> the paradoxical effects of Raf kinase inhibitors</w:t>
      </w:r>
      <w:r w:rsidR="005E733D" w:rsidRPr="009B2D50">
        <w:rPr>
          <w:rFonts w:cs="Arial"/>
          <w:szCs w:val="22"/>
        </w:rPr>
        <w:t xml:space="preserve"> on </w:t>
      </w:r>
      <w:r w:rsidR="005E5B25">
        <w:rPr>
          <w:rFonts w:cs="Arial"/>
          <w:szCs w:val="22"/>
        </w:rPr>
        <w:t>Ras</w:t>
      </w:r>
      <w:r w:rsidR="005E733D" w:rsidRPr="009B2D50">
        <w:rPr>
          <w:rFonts w:cs="Arial"/>
          <w:szCs w:val="22"/>
        </w:rPr>
        <w:t xml:space="preserve"> cancers</w:t>
      </w:r>
      <w:r w:rsidR="005E5B25">
        <w:rPr>
          <w:rFonts w:cs="Arial"/>
          <w:szCs w:val="22"/>
        </w:rPr>
        <w:t xml:space="preserve"> only became recognized as an on-target effect as additional Raf kinases were tested in the clinic. Nevertheless, this was a disappointing outcome, and forced us to re-think ways of attacking these cancers.</w:t>
      </w:r>
    </w:p>
    <w:p w14:paraId="57FB48CB" w14:textId="77777777" w:rsidR="00026F92" w:rsidRDefault="00026F92" w:rsidP="00026F92">
      <w:pPr>
        <w:jc w:val="both"/>
        <w:rPr>
          <w:rFonts w:cs="Arial"/>
          <w:sz w:val="20"/>
          <w:szCs w:val="20"/>
        </w:rPr>
      </w:pPr>
    </w:p>
    <w:p w14:paraId="57FB48CC" w14:textId="77777777" w:rsidR="00496B31" w:rsidRPr="009E2905" w:rsidRDefault="00496B31" w:rsidP="00026F92">
      <w:pPr>
        <w:jc w:val="both"/>
        <w:rPr>
          <w:rFonts w:cs="Arial"/>
          <w:szCs w:val="22"/>
        </w:rPr>
      </w:pPr>
      <w:r w:rsidRPr="009E2905">
        <w:rPr>
          <w:rFonts w:cs="Arial"/>
          <w:szCs w:val="22"/>
        </w:rPr>
        <w:t>At ONYX, under my leadership and with help from an extremely effective advisory group (Drs</w:t>
      </w:r>
      <w:r w:rsidR="009E2905">
        <w:rPr>
          <w:rFonts w:cs="Arial"/>
          <w:szCs w:val="22"/>
        </w:rPr>
        <w:t>.</w:t>
      </w:r>
      <w:r w:rsidRPr="009E2905">
        <w:rPr>
          <w:rFonts w:cs="Arial"/>
          <w:szCs w:val="22"/>
        </w:rPr>
        <w:t xml:space="preserve"> Varmus, Harlow, Howley, Wiite, Fearon, White, Levine, Hanahan and Bourne), we also developed a new approach to treating cancer using oncolytic viruses, a CDK4 inhibitor </w:t>
      </w:r>
      <w:r w:rsidR="00B62CA9">
        <w:rPr>
          <w:rFonts w:cs="Arial"/>
          <w:szCs w:val="22"/>
        </w:rPr>
        <w:t>(now known as p</w:t>
      </w:r>
      <w:r w:rsidR="005E733D" w:rsidRPr="009E2905">
        <w:rPr>
          <w:rFonts w:cs="Arial"/>
          <w:szCs w:val="22"/>
        </w:rPr>
        <w:t xml:space="preserve">albociclib) </w:t>
      </w:r>
      <w:r w:rsidRPr="009E2905">
        <w:rPr>
          <w:rFonts w:cs="Arial"/>
          <w:szCs w:val="22"/>
        </w:rPr>
        <w:t xml:space="preserve">which will likely be the first in class to receive FDA approval, </w:t>
      </w:r>
      <w:r w:rsidR="005E733D" w:rsidRPr="009E2905">
        <w:rPr>
          <w:rFonts w:cs="Arial"/>
          <w:szCs w:val="22"/>
        </w:rPr>
        <w:t xml:space="preserve">carfilzomib for multiple myeloma, </w:t>
      </w:r>
      <w:r w:rsidR="00FA12F9" w:rsidRPr="009E2905">
        <w:rPr>
          <w:rFonts w:cs="Arial"/>
          <w:szCs w:val="22"/>
        </w:rPr>
        <w:t>as well as many scientific contributions. However, as each project matured towards clinical candidates, the ONYX group became less involved in discovery research</w:t>
      </w:r>
      <w:r w:rsidR="005E733D" w:rsidRPr="009E2905">
        <w:rPr>
          <w:rFonts w:cs="Arial"/>
          <w:szCs w:val="22"/>
        </w:rPr>
        <w:t>, and when</w:t>
      </w:r>
      <w:r w:rsidR="00FA12F9" w:rsidRPr="009E2905">
        <w:rPr>
          <w:rFonts w:cs="Arial"/>
          <w:szCs w:val="22"/>
        </w:rPr>
        <w:t xml:space="preserve"> I was offered the opportunity to move to UCSF and develop a Comprehensive Cancer Center</w:t>
      </w:r>
      <w:r w:rsidR="005E733D" w:rsidRPr="009E2905">
        <w:rPr>
          <w:rFonts w:cs="Arial"/>
          <w:szCs w:val="22"/>
        </w:rPr>
        <w:t xml:space="preserve"> and restart a research lab there, I was happy to do so.</w:t>
      </w:r>
      <w:r w:rsidR="00FA12F9" w:rsidRPr="009E2905">
        <w:rPr>
          <w:rFonts w:cs="Arial"/>
          <w:szCs w:val="22"/>
        </w:rPr>
        <w:t xml:space="preserve"> </w:t>
      </w:r>
    </w:p>
    <w:p w14:paraId="57FB48CD" w14:textId="77777777" w:rsidR="00496B31" w:rsidRPr="00026F92" w:rsidRDefault="00496B31" w:rsidP="00026F92">
      <w:pPr>
        <w:jc w:val="both"/>
        <w:rPr>
          <w:rFonts w:cs="Arial"/>
          <w:sz w:val="20"/>
          <w:szCs w:val="20"/>
        </w:rPr>
      </w:pPr>
    </w:p>
    <w:p w14:paraId="57FB48CE" w14:textId="77777777" w:rsidR="00FA12F9" w:rsidRPr="009E2905" w:rsidRDefault="00FA12F9" w:rsidP="00026F92">
      <w:pPr>
        <w:jc w:val="both"/>
        <w:rPr>
          <w:rFonts w:eastAsia="MS Mincho" w:cs="Arial"/>
          <w:szCs w:val="22"/>
        </w:rPr>
      </w:pPr>
      <w:r w:rsidRPr="009E2905">
        <w:rPr>
          <w:rFonts w:cs="Arial"/>
          <w:szCs w:val="22"/>
        </w:rPr>
        <w:t xml:space="preserve">While I was Director of the </w:t>
      </w:r>
      <w:r w:rsidR="00026F92" w:rsidRPr="009E2905">
        <w:rPr>
          <w:rFonts w:cs="Arial"/>
          <w:szCs w:val="22"/>
        </w:rPr>
        <w:t xml:space="preserve">Cancer </w:t>
      </w:r>
      <w:r w:rsidRPr="009E2905">
        <w:rPr>
          <w:rFonts w:cs="Arial"/>
          <w:szCs w:val="22"/>
        </w:rPr>
        <w:t xml:space="preserve">Center, from 1999-2014, my lab </w:t>
      </w:r>
      <w:r w:rsidRPr="009E2905">
        <w:rPr>
          <w:rFonts w:eastAsia="MS Mincho" w:cs="Arial"/>
          <w:szCs w:val="22"/>
        </w:rPr>
        <w:t>published 128 peer-reviewed papers including 16 in Cell, Science or Nature journals. Many of these discoveries relate to Ras in one way or another, including discovery that Spred proteins interact with neurofibromin. This was particularly important to me, as I have been working on NF1 and neurofibromin since we discovered that neurofibromin is a GAP in 1990. Th</w:t>
      </w:r>
      <w:r w:rsidR="00026F92" w:rsidRPr="009E2905">
        <w:rPr>
          <w:rFonts w:eastAsia="MS Mincho" w:cs="Arial"/>
          <w:szCs w:val="22"/>
        </w:rPr>
        <w:t>e</w:t>
      </w:r>
      <w:r w:rsidRPr="009E2905">
        <w:rPr>
          <w:rFonts w:eastAsia="MS Mincho" w:cs="Arial"/>
          <w:szCs w:val="22"/>
        </w:rPr>
        <w:t xml:space="preserve"> discovery that this terrible disease is simply caused by hyperactive Ras led to the false expectation that treatments were within sight. As I became more involved in the NF1 patient community, I became more determined to </w:t>
      </w:r>
      <w:r w:rsidR="00026F92" w:rsidRPr="009E2905">
        <w:rPr>
          <w:rFonts w:eastAsia="MS Mincho" w:cs="Arial"/>
          <w:szCs w:val="22"/>
        </w:rPr>
        <w:t>find new approaches to treatment. This has been a theme of my lab for many years and we are finally making progress in this direction.</w:t>
      </w:r>
    </w:p>
    <w:p w14:paraId="57FB48CF" w14:textId="77777777" w:rsidR="00026F92" w:rsidRPr="00026F92" w:rsidRDefault="00026F92" w:rsidP="00026F92">
      <w:pPr>
        <w:jc w:val="both"/>
        <w:rPr>
          <w:rFonts w:eastAsia="MS Mincho" w:cs="Arial"/>
          <w:sz w:val="20"/>
          <w:szCs w:val="20"/>
        </w:rPr>
      </w:pPr>
    </w:p>
    <w:p w14:paraId="57FB48D0" w14:textId="77777777" w:rsidR="00026F92" w:rsidRPr="009E2905" w:rsidRDefault="00026F92" w:rsidP="00026F92">
      <w:pPr>
        <w:jc w:val="both"/>
        <w:rPr>
          <w:rFonts w:cs="Arial"/>
          <w:szCs w:val="22"/>
        </w:rPr>
      </w:pPr>
      <w:r w:rsidRPr="009E2905">
        <w:rPr>
          <w:rFonts w:eastAsia="MS Mincho" w:cs="Arial"/>
          <w:szCs w:val="22"/>
        </w:rPr>
        <w:t>In 2014, Dr</w:t>
      </w:r>
      <w:r w:rsidR="009E2905">
        <w:rPr>
          <w:rFonts w:eastAsia="MS Mincho" w:cs="Arial"/>
          <w:szCs w:val="22"/>
        </w:rPr>
        <w:t>.</w:t>
      </w:r>
      <w:r w:rsidRPr="009E2905">
        <w:rPr>
          <w:rFonts w:eastAsia="MS Mincho" w:cs="Arial"/>
          <w:szCs w:val="22"/>
        </w:rPr>
        <w:t xml:space="preserve"> Varmus asked me to take a leadership role in the new National Ras Program, and I was delighted to accept. This is an applied science project focused directly on one of my long term passions. I committed to spend half my time running this project, including a week a month in Frederick, Md. The remaining time I devote to my lab at UCSF, which is now entirely focused on</w:t>
      </w:r>
      <w:r w:rsidR="005E733D" w:rsidRPr="009E2905">
        <w:rPr>
          <w:rFonts w:eastAsia="MS Mincho" w:cs="Arial"/>
          <w:szCs w:val="22"/>
        </w:rPr>
        <w:t xml:space="preserve"> basic</w:t>
      </w:r>
      <w:r w:rsidRPr="009E2905">
        <w:rPr>
          <w:rFonts w:eastAsia="MS Mincho" w:cs="Arial"/>
          <w:szCs w:val="22"/>
        </w:rPr>
        <w:t xml:space="preserve"> Ras biology. The interaction between my lab at UCSF</w:t>
      </w:r>
      <w:r w:rsidR="005E733D" w:rsidRPr="009E2905">
        <w:rPr>
          <w:rFonts w:eastAsia="MS Mincho" w:cs="Arial"/>
          <w:szCs w:val="22"/>
        </w:rPr>
        <w:t xml:space="preserve"> and the Frederick National Lab</w:t>
      </w:r>
      <w:r w:rsidRPr="009E2905">
        <w:rPr>
          <w:rFonts w:eastAsia="MS Mincho" w:cs="Arial"/>
          <w:szCs w:val="22"/>
        </w:rPr>
        <w:t xml:space="preserve"> has been synergistic: for example, we developed </w:t>
      </w:r>
      <w:r w:rsidR="005E5B25">
        <w:rPr>
          <w:rFonts w:eastAsia="MS Mincho" w:cs="Arial"/>
          <w:szCs w:val="22"/>
        </w:rPr>
        <w:t>Dr Barbacid’s</w:t>
      </w:r>
      <w:r w:rsidRPr="009E2905">
        <w:rPr>
          <w:rFonts w:eastAsia="MS Mincho" w:cs="Arial"/>
          <w:szCs w:val="22"/>
        </w:rPr>
        <w:t xml:space="preserve"> system of expressing single Ras isoforms in a Rasless </w:t>
      </w:r>
      <w:r w:rsidR="005E733D" w:rsidRPr="009E2905">
        <w:rPr>
          <w:rFonts w:eastAsia="MS Mincho" w:cs="Arial"/>
          <w:szCs w:val="22"/>
        </w:rPr>
        <w:t xml:space="preserve">MEF </w:t>
      </w:r>
      <w:r w:rsidRPr="009E2905">
        <w:rPr>
          <w:rFonts w:eastAsia="MS Mincho" w:cs="Arial"/>
          <w:szCs w:val="22"/>
        </w:rPr>
        <w:t>background as a discovery tool to identify specific biochemical properties of individual Ras proteins</w:t>
      </w:r>
      <w:r w:rsidR="005E733D" w:rsidRPr="009E2905">
        <w:rPr>
          <w:rFonts w:eastAsia="MS Mincho" w:cs="Arial"/>
          <w:szCs w:val="22"/>
        </w:rPr>
        <w:t xml:space="preserve"> in a clean background</w:t>
      </w:r>
      <w:r w:rsidRPr="009E2905">
        <w:rPr>
          <w:rFonts w:eastAsia="MS Mincho" w:cs="Arial"/>
          <w:szCs w:val="22"/>
        </w:rPr>
        <w:t xml:space="preserve">. </w:t>
      </w:r>
      <w:r w:rsidR="005E733D" w:rsidRPr="009E2905">
        <w:rPr>
          <w:rFonts w:eastAsia="MS Mincho" w:cs="Arial"/>
          <w:szCs w:val="22"/>
        </w:rPr>
        <w:t>We</w:t>
      </w:r>
      <w:r w:rsidRPr="009E2905">
        <w:rPr>
          <w:rFonts w:eastAsia="MS Mincho" w:cs="Arial"/>
          <w:szCs w:val="22"/>
        </w:rPr>
        <w:t xml:space="preserve"> have exported this system to Frederick to use </w:t>
      </w:r>
      <w:r w:rsidRPr="009E2905">
        <w:rPr>
          <w:rFonts w:eastAsia="MS Mincho" w:cs="Arial"/>
          <w:szCs w:val="22"/>
        </w:rPr>
        <w:lastRenderedPageBreak/>
        <w:t xml:space="preserve">as a primary screen for compounds that hit K-Ras but not H-Ras, </w:t>
      </w:r>
      <w:r w:rsidR="005E733D" w:rsidRPr="009E2905">
        <w:rPr>
          <w:rFonts w:eastAsia="MS Mincho" w:cs="Arial"/>
          <w:szCs w:val="22"/>
        </w:rPr>
        <w:t>amongst other screens</w:t>
      </w:r>
      <w:r w:rsidRPr="009E2905">
        <w:rPr>
          <w:rFonts w:eastAsia="MS Mincho" w:cs="Arial"/>
          <w:szCs w:val="22"/>
        </w:rPr>
        <w:t>. However, my lab at UCSF is devoted to basic discovery science, more than applied drug discovery</w:t>
      </w:r>
      <w:r w:rsidR="00B62CA9">
        <w:rPr>
          <w:rFonts w:eastAsia="MS Mincho" w:cs="Arial"/>
          <w:szCs w:val="22"/>
        </w:rPr>
        <w:t xml:space="preserve">. Recently we discovered that K-Ras initiates a stem-like program that makes cancer cells drug resistant and metastatic, and we expect to exploit these discoveries to develop new therapies. </w:t>
      </w:r>
      <w:r w:rsidRPr="009E2905">
        <w:rPr>
          <w:rFonts w:eastAsia="MS Mincho" w:cs="Arial"/>
          <w:szCs w:val="22"/>
        </w:rPr>
        <w:t xml:space="preserve"> </w:t>
      </w:r>
    </w:p>
    <w:p w14:paraId="57FB48D1" w14:textId="77777777" w:rsidR="00822EBA" w:rsidRDefault="00822EBA" w:rsidP="009E2905">
      <w:pPr>
        <w:pStyle w:val="Heading2"/>
        <w:spacing w:before="200"/>
      </w:pPr>
      <w:r>
        <w:t>B.</w:t>
      </w:r>
      <w:r>
        <w:tab/>
        <w:t>Positions and Honors</w:t>
      </w:r>
    </w:p>
    <w:p w14:paraId="57FB48D2" w14:textId="77777777" w:rsidR="00A02318" w:rsidRDefault="00A02318" w:rsidP="00A02318">
      <w:pPr>
        <w:jc w:val="both"/>
        <w:rPr>
          <w:rFonts w:cs="Arial"/>
        </w:rPr>
      </w:pPr>
      <w:r w:rsidRPr="00A7510E">
        <w:rPr>
          <w:rFonts w:cs="Arial"/>
        </w:rPr>
        <w:t xml:space="preserve">Frank McCormick, Ph.D., F.R.S., D.Sc. (Hon) is the </w:t>
      </w:r>
      <w:r>
        <w:rPr>
          <w:rFonts w:cs="Arial"/>
        </w:rPr>
        <w:t>Professor Emeritus</w:t>
      </w:r>
      <w:r w:rsidRPr="00A7510E">
        <w:rPr>
          <w:rFonts w:cs="Arial"/>
        </w:rPr>
        <w:t xml:space="preserve"> of the University of California, San Francisco (UCSF) Helen Diller Family Comprehensive Cancer Center. A native of Cambridge, England, Dr. McCormick received his B.Sc. in biochemistry from the University of Birmingham (1972) and his Ph.D. in biochemistry from the University of Cambridge (1975). Postdoctoral fellowships were held at the State University of New York at Stony Brook and in London at the Imperial Cancer Research Fund.  He has been a Fellow of the Royal Society since 1996</w:t>
      </w:r>
      <w:r>
        <w:rPr>
          <w:rFonts w:cs="Arial"/>
        </w:rPr>
        <w:t xml:space="preserve"> and a Member of the National Academy of Sciences since 2014</w:t>
      </w:r>
      <w:r w:rsidRPr="00A7510E">
        <w:rPr>
          <w:rFonts w:cs="Arial"/>
        </w:rPr>
        <w:t xml:space="preserve">.  Prior to joining the UCSF faculty, Dr. McCormick pursued cancer-related work </w:t>
      </w:r>
      <w:r>
        <w:rPr>
          <w:rFonts w:cs="Arial"/>
        </w:rPr>
        <w:t>at</w:t>
      </w:r>
      <w:r w:rsidRPr="00A7510E">
        <w:rPr>
          <w:rFonts w:cs="Arial"/>
        </w:rPr>
        <w:t xml:space="preserve"> Cetus Corporation (Director of Molecular Biology, 1981-90; Vice President of Research, 1990-91) and Chiron Corporation, </w:t>
      </w:r>
      <w:r>
        <w:rPr>
          <w:rFonts w:cs="Arial"/>
        </w:rPr>
        <w:t>(</w:t>
      </w:r>
      <w:r w:rsidRPr="00A7510E">
        <w:rPr>
          <w:rFonts w:cs="Arial"/>
        </w:rPr>
        <w:t>Vice President of Research from 1991-92</w:t>
      </w:r>
      <w:r>
        <w:rPr>
          <w:rFonts w:cs="Arial"/>
        </w:rPr>
        <w:t>) and in</w:t>
      </w:r>
      <w:r w:rsidRPr="00A7510E">
        <w:rPr>
          <w:rFonts w:cs="Arial"/>
        </w:rPr>
        <w:t xml:space="preserve"> 1992 he founded Onyx Pharmaceuticals and served as its Chief Scientific Officer until 1996</w:t>
      </w:r>
      <w:r w:rsidRPr="00755B6D">
        <w:rPr>
          <w:rFonts w:cs="Arial"/>
        </w:rPr>
        <w:t xml:space="preserve">.  </w:t>
      </w:r>
      <w:r>
        <w:rPr>
          <w:rFonts w:cs="Arial"/>
        </w:rPr>
        <w:t xml:space="preserve">His group discovered and developed sorafenib and palbociclib, and pioneered cancer therapy using oncolytic viruses. His laboratory at UCSF focuses on functions of Ras proteins. More recently, he has taken a leadership role at the Frederick National Laboratory for Cancer Research, overseeing an NCI supported national effort to develop therapies against Ras-driven cancers.  </w:t>
      </w:r>
    </w:p>
    <w:p w14:paraId="57FB48D3" w14:textId="77777777" w:rsidR="00822EBA" w:rsidRDefault="00574780" w:rsidP="00574780">
      <w:pPr>
        <w:tabs>
          <w:tab w:val="left" w:pos="2695"/>
        </w:tabs>
        <w:rPr>
          <w:rStyle w:val="Strong"/>
        </w:rPr>
      </w:pPr>
      <w:r>
        <w:tab/>
      </w:r>
    </w:p>
    <w:p w14:paraId="57FB48D4" w14:textId="77777777" w:rsidR="00822EBA" w:rsidRPr="00E85C90" w:rsidRDefault="00822EBA" w:rsidP="00822EBA">
      <w:pPr>
        <w:keepNext/>
        <w:jc w:val="both"/>
        <w:outlineLvl w:val="1"/>
        <w:rPr>
          <w:rFonts w:cs="Arial"/>
          <w:b/>
          <w:bCs/>
          <w:szCs w:val="22"/>
          <w:u w:val="single"/>
        </w:rPr>
      </w:pPr>
      <w:r w:rsidRPr="00E85C90">
        <w:rPr>
          <w:rFonts w:cs="Arial"/>
          <w:b/>
          <w:bCs/>
          <w:szCs w:val="22"/>
          <w:u w:val="single"/>
        </w:rPr>
        <w:t>Positions and Employment</w:t>
      </w:r>
    </w:p>
    <w:p w14:paraId="57FB48D5" w14:textId="77777777" w:rsidR="00822EBA" w:rsidRPr="00E85C90" w:rsidRDefault="00822EBA" w:rsidP="00822EBA">
      <w:pPr>
        <w:autoSpaceDE/>
        <w:autoSpaceDN/>
        <w:ind w:left="1440" w:hanging="1440"/>
        <w:jc w:val="both"/>
        <w:rPr>
          <w:rFonts w:cs="Arial"/>
          <w:szCs w:val="22"/>
        </w:rPr>
      </w:pPr>
      <w:r w:rsidRPr="00E85C90">
        <w:rPr>
          <w:rFonts w:cs="Arial"/>
          <w:szCs w:val="22"/>
        </w:rPr>
        <w:t xml:space="preserve">1975-1978 </w:t>
      </w:r>
      <w:r w:rsidRPr="00E85C90">
        <w:rPr>
          <w:rFonts w:cs="Arial"/>
          <w:szCs w:val="22"/>
        </w:rPr>
        <w:tab/>
        <w:t>Professor Seymour S. Cohen, SUNY at Stony Brook (Post Doctoral Fellow)</w:t>
      </w:r>
    </w:p>
    <w:p w14:paraId="57FB48D6" w14:textId="77777777" w:rsidR="00822EBA" w:rsidRPr="00E85C90" w:rsidRDefault="00822EBA" w:rsidP="00822EBA">
      <w:pPr>
        <w:autoSpaceDE/>
        <w:autoSpaceDN/>
        <w:ind w:left="1440" w:hanging="1440"/>
        <w:jc w:val="both"/>
        <w:rPr>
          <w:rFonts w:cs="Arial"/>
          <w:szCs w:val="22"/>
        </w:rPr>
      </w:pPr>
      <w:r w:rsidRPr="00E85C90">
        <w:rPr>
          <w:rFonts w:cs="Arial"/>
          <w:szCs w:val="22"/>
        </w:rPr>
        <w:t>1978-1981</w:t>
      </w:r>
      <w:r w:rsidRPr="00E85C90">
        <w:rPr>
          <w:rFonts w:cs="Arial"/>
          <w:szCs w:val="22"/>
        </w:rPr>
        <w:tab/>
        <w:t>Dr. Alan Smith, Imperial Cancer Research Fund, London (Post Doctoral Fellow)</w:t>
      </w:r>
    </w:p>
    <w:p w14:paraId="57FB48D7" w14:textId="77777777" w:rsidR="00822EBA" w:rsidRPr="00E85C90" w:rsidRDefault="00822EBA" w:rsidP="00822EBA">
      <w:pPr>
        <w:autoSpaceDE/>
        <w:autoSpaceDN/>
        <w:ind w:left="1440" w:hanging="1440"/>
        <w:jc w:val="both"/>
        <w:rPr>
          <w:rFonts w:cs="Arial"/>
          <w:szCs w:val="22"/>
        </w:rPr>
      </w:pPr>
      <w:r w:rsidRPr="00E85C90">
        <w:rPr>
          <w:rFonts w:cs="Arial"/>
          <w:szCs w:val="22"/>
        </w:rPr>
        <w:t>1981-1990</w:t>
      </w:r>
      <w:r w:rsidRPr="00E85C90">
        <w:rPr>
          <w:rFonts w:cs="Arial"/>
          <w:szCs w:val="22"/>
        </w:rPr>
        <w:tab/>
        <w:t>Cetus Corporation (Director of Molecular Biology)</w:t>
      </w:r>
    </w:p>
    <w:p w14:paraId="57FB48D8" w14:textId="77777777" w:rsidR="00822EBA" w:rsidRPr="00E85C90" w:rsidRDefault="00822EBA" w:rsidP="00822EBA">
      <w:pPr>
        <w:autoSpaceDE/>
        <w:autoSpaceDN/>
        <w:ind w:left="1440" w:hanging="1440"/>
        <w:jc w:val="both"/>
        <w:rPr>
          <w:rFonts w:cs="Arial"/>
          <w:szCs w:val="22"/>
        </w:rPr>
      </w:pPr>
      <w:r w:rsidRPr="00E85C90">
        <w:rPr>
          <w:rFonts w:cs="Arial"/>
          <w:szCs w:val="22"/>
        </w:rPr>
        <w:t>1990-1991</w:t>
      </w:r>
      <w:r w:rsidRPr="00E85C90">
        <w:rPr>
          <w:rFonts w:cs="Arial"/>
          <w:szCs w:val="22"/>
        </w:rPr>
        <w:tab/>
        <w:t>Cetus Corporation (Vice President, Research)</w:t>
      </w:r>
    </w:p>
    <w:p w14:paraId="57FB48D9" w14:textId="77777777" w:rsidR="00822EBA" w:rsidRPr="00E85C90" w:rsidRDefault="00822EBA" w:rsidP="00822EBA">
      <w:pPr>
        <w:autoSpaceDE/>
        <w:autoSpaceDN/>
        <w:ind w:left="1440" w:hanging="1440"/>
        <w:jc w:val="both"/>
        <w:rPr>
          <w:rFonts w:cs="Arial"/>
          <w:szCs w:val="22"/>
        </w:rPr>
      </w:pPr>
      <w:r w:rsidRPr="00E85C90">
        <w:rPr>
          <w:rFonts w:cs="Arial"/>
          <w:szCs w:val="22"/>
        </w:rPr>
        <w:t xml:space="preserve">1991-1992 </w:t>
      </w:r>
      <w:r w:rsidRPr="00E85C90">
        <w:rPr>
          <w:rFonts w:cs="Arial"/>
          <w:szCs w:val="22"/>
        </w:rPr>
        <w:tab/>
        <w:t>Chiron Corporation (Vice President, Research)</w:t>
      </w:r>
    </w:p>
    <w:p w14:paraId="57FB48DA" w14:textId="77777777" w:rsidR="00822EBA" w:rsidRDefault="00822EBA" w:rsidP="00822EBA">
      <w:pPr>
        <w:autoSpaceDE/>
        <w:autoSpaceDN/>
        <w:ind w:left="1440" w:hanging="1440"/>
        <w:jc w:val="both"/>
        <w:rPr>
          <w:rFonts w:cs="Arial"/>
          <w:szCs w:val="22"/>
        </w:rPr>
      </w:pPr>
      <w:r w:rsidRPr="00E85C90">
        <w:rPr>
          <w:rFonts w:cs="Arial"/>
          <w:szCs w:val="22"/>
        </w:rPr>
        <w:t>1992-1996</w:t>
      </w:r>
      <w:r w:rsidRPr="00E85C90">
        <w:rPr>
          <w:rFonts w:cs="Arial"/>
          <w:szCs w:val="22"/>
        </w:rPr>
        <w:tab/>
        <w:t>Onyx Pharmaceuticals (Founder, Chief Scientific Officer)</w:t>
      </w:r>
    </w:p>
    <w:p w14:paraId="57FB48DB" w14:textId="77777777" w:rsidR="00822EBA" w:rsidRPr="00E85C90" w:rsidRDefault="00822EBA" w:rsidP="00822EBA">
      <w:pPr>
        <w:autoSpaceDE/>
        <w:autoSpaceDN/>
        <w:ind w:left="1440" w:hanging="1440"/>
        <w:jc w:val="both"/>
        <w:rPr>
          <w:rFonts w:cs="Arial"/>
          <w:szCs w:val="22"/>
        </w:rPr>
      </w:pPr>
      <w:r w:rsidRPr="00E85C90">
        <w:rPr>
          <w:rFonts w:cs="Arial"/>
          <w:szCs w:val="22"/>
        </w:rPr>
        <w:t>1997-</w:t>
      </w:r>
      <w:r>
        <w:rPr>
          <w:rFonts w:cs="Arial"/>
          <w:szCs w:val="22"/>
        </w:rPr>
        <w:t>2013</w:t>
      </w:r>
      <w:r w:rsidRPr="00E85C90">
        <w:rPr>
          <w:rFonts w:cs="Arial"/>
          <w:szCs w:val="22"/>
        </w:rPr>
        <w:tab/>
        <w:t>University of California, San Francisco, Microbiology &amp; Immunology (Professor)</w:t>
      </w:r>
    </w:p>
    <w:p w14:paraId="57FB48DC" w14:textId="77777777" w:rsidR="00822EBA" w:rsidRPr="00E85C90" w:rsidRDefault="00822EBA" w:rsidP="00822EBA">
      <w:pPr>
        <w:autoSpaceDE/>
        <w:autoSpaceDN/>
        <w:ind w:left="1440" w:hanging="1440"/>
        <w:jc w:val="both"/>
        <w:rPr>
          <w:rFonts w:cs="Arial"/>
          <w:szCs w:val="22"/>
        </w:rPr>
      </w:pPr>
      <w:r w:rsidRPr="00E85C90">
        <w:rPr>
          <w:rFonts w:cs="Arial"/>
          <w:szCs w:val="22"/>
        </w:rPr>
        <w:t>1997-</w:t>
      </w:r>
      <w:r>
        <w:rPr>
          <w:rFonts w:cs="Arial"/>
          <w:szCs w:val="22"/>
        </w:rPr>
        <w:t>2014</w:t>
      </w:r>
      <w:r w:rsidRPr="00E85C90">
        <w:rPr>
          <w:rFonts w:cs="Arial"/>
          <w:szCs w:val="22"/>
        </w:rPr>
        <w:tab/>
        <w:t>University of Californi</w:t>
      </w:r>
      <w:r>
        <w:rPr>
          <w:rFonts w:cs="Arial"/>
          <w:szCs w:val="22"/>
        </w:rPr>
        <w:t>a, San Francisco, Cancer Center</w:t>
      </w:r>
      <w:r w:rsidRPr="00E85C90">
        <w:rPr>
          <w:rFonts w:cs="Arial"/>
          <w:szCs w:val="22"/>
        </w:rPr>
        <w:t xml:space="preserve"> (Director, Associate Dean)</w:t>
      </w:r>
    </w:p>
    <w:p w14:paraId="57FB48DD" w14:textId="77777777" w:rsidR="00822EBA" w:rsidRDefault="00822EBA" w:rsidP="00822EBA">
      <w:pPr>
        <w:autoSpaceDE/>
        <w:autoSpaceDN/>
        <w:ind w:left="1440" w:hanging="1440"/>
        <w:jc w:val="both"/>
        <w:rPr>
          <w:rFonts w:cs="Arial"/>
          <w:szCs w:val="22"/>
        </w:rPr>
      </w:pPr>
      <w:r>
        <w:rPr>
          <w:rFonts w:cs="Arial"/>
          <w:szCs w:val="22"/>
        </w:rPr>
        <w:t>2013-</w:t>
      </w:r>
      <w:r w:rsidRPr="00E85C90">
        <w:rPr>
          <w:rFonts w:cs="Arial"/>
          <w:szCs w:val="22"/>
        </w:rPr>
        <w:tab/>
        <w:t>University of California, San Francisco, Microbiology &amp; Immunology (Professor</w:t>
      </w:r>
      <w:r>
        <w:rPr>
          <w:rFonts w:cs="Arial"/>
          <w:szCs w:val="22"/>
        </w:rPr>
        <w:t xml:space="preserve"> Emeritus</w:t>
      </w:r>
      <w:r w:rsidRPr="00E85C90">
        <w:rPr>
          <w:rFonts w:cs="Arial"/>
          <w:szCs w:val="22"/>
        </w:rPr>
        <w:t>)</w:t>
      </w:r>
    </w:p>
    <w:p w14:paraId="57FB48DE" w14:textId="77777777" w:rsidR="00822EBA" w:rsidRPr="00E85C90" w:rsidRDefault="00822EBA" w:rsidP="00822EBA">
      <w:pPr>
        <w:autoSpaceDE/>
        <w:autoSpaceDN/>
        <w:ind w:left="1440" w:hanging="1440"/>
        <w:jc w:val="both"/>
        <w:rPr>
          <w:rFonts w:cs="Arial"/>
          <w:szCs w:val="22"/>
        </w:rPr>
      </w:pPr>
      <w:r>
        <w:rPr>
          <w:rFonts w:cs="Arial"/>
          <w:szCs w:val="22"/>
        </w:rPr>
        <w:t>2013-</w:t>
      </w:r>
      <w:r w:rsidRPr="00E85C90">
        <w:rPr>
          <w:rFonts w:cs="Arial"/>
          <w:szCs w:val="22"/>
        </w:rPr>
        <w:tab/>
        <w:t>University of California, San Francisco, Cancer Center (Professor</w:t>
      </w:r>
      <w:r>
        <w:rPr>
          <w:rFonts w:cs="Arial"/>
          <w:szCs w:val="22"/>
        </w:rPr>
        <w:t xml:space="preserve"> Emeritus</w:t>
      </w:r>
      <w:r w:rsidRPr="00E85C90">
        <w:rPr>
          <w:rFonts w:cs="Arial"/>
          <w:szCs w:val="22"/>
        </w:rPr>
        <w:t>)</w:t>
      </w:r>
    </w:p>
    <w:p w14:paraId="57FB48DF" w14:textId="77777777" w:rsidR="00822EBA" w:rsidRPr="00E85C90" w:rsidRDefault="00822EBA" w:rsidP="00822EBA">
      <w:pPr>
        <w:keepNext/>
        <w:spacing w:before="240"/>
        <w:jc w:val="both"/>
        <w:outlineLvl w:val="1"/>
        <w:rPr>
          <w:rFonts w:cs="Arial"/>
          <w:b/>
          <w:bCs/>
          <w:szCs w:val="22"/>
          <w:u w:val="single"/>
        </w:rPr>
      </w:pPr>
      <w:r>
        <w:rPr>
          <w:rFonts w:cs="Arial"/>
          <w:b/>
          <w:bCs/>
          <w:szCs w:val="22"/>
          <w:u w:val="single"/>
        </w:rPr>
        <w:t>Oth</w:t>
      </w:r>
      <w:r w:rsidRPr="00E85C90">
        <w:rPr>
          <w:rFonts w:cs="Arial"/>
          <w:b/>
          <w:bCs/>
          <w:szCs w:val="22"/>
          <w:u w:val="single"/>
        </w:rPr>
        <w:t>er Experience and Professional Memberships</w:t>
      </w:r>
    </w:p>
    <w:p w14:paraId="57FB48E0" w14:textId="77777777" w:rsidR="00822EBA" w:rsidRPr="00E85C90" w:rsidRDefault="00822EBA" w:rsidP="00822EBA">
      <w:pPr>
        <w:autoSpaceDE/>
        <w:autoSpaceDN/>
        <w:ind w:left="1440" w:hanging="1440"/>
        <w:jc w:val="both"/>
        <w:rPr>
          <w:rFonts w:cs="Arial"/>
          <w:szCs w:val="22"/>
        </w:rPr>
      </w:pPr>
      <w:r w:rsidRPr="00E85C90">
        <w:rPr>
          <w:rFonts w:cs="Arial"/>
          <w:szCs w:val="22"/>
        </w:rPr>
        <w:t xml:space="preserve">1998-1999 </w:t>
      </w:r>
      <w:r w:rsidRPr="00E85C90">
        <w:rPr>
          <w:rFonts w:cs="Arial"/>
          <w:szCs w:val="22"/>
        </w:rPr>
        <w:tab/>
        <w:t>National Cancer Institute Developmental Therapeutics Program Advisory Board</w:t>
      </w:r>
    </w:p>
    <w:p w14:paraId="57FB48E1" w14:textId="77777777" w:rsidR="00822EBA" w:rsidRPr="00E85C90" w:rsidRDefault="00822EBA" w:rsidP="00822EBA">
      <w:pPr>
        <w:autoSpaceDE/>
        <w:autoSpaceDN/>
        <w:ind w:left="1440" w:hanging="1440"/>
        <w:jc w:val="both"/>
        <w:rPr>
          <w:rFonts w:cs="Arial"/>
          <w:szCs w:val="22"/>
        </w:rPr>
      </w:pPr>
      <w:r w:rsidRPr="00E85C90">
        <w:rPr>
          <w:rFonts w:cs="Arial"/>
          <w:szCs w:val="22"/>
        </w:rPr>
        <w:t>1998-2003</w:t>
      </w:r>
      <w:r w:rsidRPr="00E85C90">
        <w:rPr>
          <w:rFonts w:cs="Arial"/>
          <w:szCs w:val="22"/>
        </w:rPr>
        <w:tab/>
        <w:t>National Cancer Institute Board of Scientific Counselors Advisory Committee</w:t>
      </w:r>
    </w:p>
    <w:p w14:paraId="57FB48E2" w14:textId="77777777" w:rsidR="00822EBA" w:rsidRPr="00E85C90" w:rsidRDefault="00822EBA" w:rsidP="00822EBA">
      <w:pPr>
        <w:autoSpaceDE/>
        <w:autoSpaceDN/>
        <w:ind w:left="1440" w:hanging="1440"/>
        <w:jc w:val="both"/>
        <w:rPr>
          <w:rFonts w:cs="Arial"/>
          <w:szCs w:val="22"/>
        </w:rPr>
      </w:pPr>
      <w:r w:rsidRPr="00E85C90">
        <w:rPr>
          <w:rFonts w:cs="Arial"/>
          <w:szCs w:val="22"/>
        </w:rPr>
        <w:t>2004-</w:t>
      </w:r>
      <w:r>
        <w:rPr>
          <w:rFonts w:cs="Arial"/>
          <w:szCs w:val="22"/>
        </w:rPr>
        <w:t>2009</w:t>
      </w:r>
      <w:r w:rsidRPr="00E85C90">
        <w:rPr>
          <w:rFonts w:cs="Arial"/>
          <w:szCs w:val="22"/>
        </w:rPr>
        <w:tab/>
        <w:t>Lawrence Livermore National Lab, Biology/Biotechnology Research Program Advisory Board</w:t>
      </w:r>
    </w:p>
    <w:p w14:paraId="57FB48E3" w14:textId="77777777" w:rsidR="00822EBA" w:rsidRDefault="00822EBA" w:rsidP="00822EBA">
      <w:pPr>
        <w:autoSpaceDE/>
        <w:autoSpaceDN/>
        <w:ind w:left="1440" w:hanging="1440"/>
        <w:jc w:val="both"/>
        <w:rPr>
          <w:rFonts w:cs="Arial"/>
          <w:szCs w:val="22"/>
        </w:rPr>
      </w:pPr>
      <w:r>
        <w:rPr>
          <w:rFonts w:cs="Arial"/>
          <w:szCs w:val="22"/>
        </w:rPr>
        <w:t>2012-2013</w:t>
      </w:r>
      <w:r>
        <w:rPr>
          <w:rFonts w:cs="Arial"/>
          <w:szCs w:val="22"/>
        </w:rPr>
        <w:tab/>
        <w:t>President</w:t>
      </w:r>
      <w:r w:rsidRPr="00E85C90">
        <w:rPr>
          <w:rFonts w:cs="Arial"/>
          <w:szCs w:val="22"/>
        </w:rPr>
        <w:t>, Ameri</w:t>
      </w:r>
      <w:r>
        <w:rPr>
          <w:rFonts w:cs="Arial"/>
          <w:szCs w:val="22"/>
        </w:rPr>
        <w:t>can Association for Cancer Rese</w:t>
      </w:r>
      <w:r w:rsidRPr="00E85C90">
        <w:rPr>
          <w:rFonts w:cs="Arial"/>
          <w:szCs w:val="22"/>
        </w:rPr>
        <w:t>a</w:t>
      </w:r>
      <w:r>
        <w:rPr>
          <w:rFonts w:cs="Arial"/>
          <w:szCs w:val="22"/>
        </w:rPr>
        <w:t>r</w:t>
      </w:r>
      <w:r w:rsidRPr="00E85C90">
        <w:rPr>
          <w:rFonts w:cs="Arial"/>
          <w:szCs w:val="22"/>
        </w:rPr>
        <w:t>ch</w:t>
      </w:r>
    </w:p>
    <w:p w14:paraId="57FB48E4" w14:textId="77777777" w:rsidR="00822EBA" w:rsidRPr="00E85C90" w:rsidRDefault="00822EBA" w:rsidP="00822EBA">
      <w:pPr>
        <w:autoSpaceDE/>
        <w:autoSpaceDN/>
        <w:ind w:left="1440" w:hanging="1440"/>
        <w:jc w:val="both"/>
        <w:rPr>
          <w:rFonts w:cs="Arial"/>
          <w:szCs w:val="22"/>
        </w:rPr>
      </w:pPr>
      <w:r>
        <w:rPr>
          <w:rFonts w:cs="Arial"/>
          <w:szCs w:val="22"/>
        </w:rPr>
        <w:t>2013-</w:t>
      </w:r>
      <w:r>
        <w:rPr>
          <w:rFonts w:cs="Arial"/>
          <w:szCs w:val="22"/>
        </w:rPr>
        <w:tab/>
        <w:t xml:space="preserve">National Cancer Institute, Frederick National Laboratory for Cancer Research, </w:t>
      </w:r>
      <w:r w:rsidR="00A873BC">
        <w:rPr>
          <w:rFonts w:cs="Arial"/>
          <w:szCs w:val="22"/>
        </w:rPr>
        <w:t>Scientific Director</w:t>
      </w:r>
    </w:p>
    <w:p w14:paraId="57FB48E5" w14:textId="77777777" w:rsidR="00822EBA" w:rsidRPr="00E85C90" w:rsidRDefault="00822EBA" w:rsidP="00822EBA">
      <w:pPr>
        <w:keepNext/>
        <w:spacing w:before="240"/>
        <w:jc w:val="both"/>
        <w:outlineLvl w:val="1"/>
        <w:rPr>
          <w:rFonts w:cs="Arial"/>
          <w:b/>
          <w:bCs/>
          <w:szCs w:val="22"/>
          <w:u w:val="single"/>
        </w:rPr>
      </w:pPr>
      <w:r w:rsidRPr="00E85C90">
        <w:rPr>
          <w:rFonts w:cs="Arial"/>
          <w:b/>
          <w:bCs/>
          <w:szCs w:val="22"/>
          <w:u w:val="single"/>
        </w:rPr>
        <w:t>Honors</w:t>
      </w:r>
    </w:p>
    <w:p w14:paraId="57FB48E6" w14:textId="77777777" w:rsidR="00822EBA" w:rsidRPr="00E85C90" w:rsidRDefault="00822EBA" w:rsidP="00822EBA">
      <w:pPr>
        <w:jc w:val="both"/>
        <w:rPr>
          <w:rFonts w:cs="Arial"/>
          <w:szCs w:val="22"/>
        </w:rPr>
      </w:pPr>
      <w:r w:rsidRPr="00E85C90">
        <w:rPr>
          <w:rFonts w:cs="Arial"/>
          <w:szCs w:val="22"/>
        </w:rPr>
        <w:t xml:space="preserve">1996 </w:t>
      </w:r>
      <w:r w:rsidRPr="00E85C90">
        <w:rPr>
          <w:rFonts w:cs="Arial"/>
          <w:szCs w:val="22"/>
        </w:rPr>
        <w:tab/>
      </w:r>
      <w:r w:rsidRPr="00E85C90">
        <w:rPr>
          <w:rFonts w:cs="Arial"/>
          <w:szCs w:val="22"/>
        </w:rPr>
        <w:tab/>
      </w:r>
      <w:r w:rsidRPr="00E85C90">
        <w:rPr>
          <w:rFonts w:cs="Arial"/>
          <w:szCs w:val="22"/>
        </w:rPr>
        <w:tab/>
        <w:t>Fellow of the Royal Society</w:t>
      </w:r>
    </w:p>
    <w:p w14:paraId="57FB48E7" w14:textId="77777777" w:rsidR="00822EBA" w:rsidRPr="00E85C90" w:rsidRDefault="00822EBA" w:rsidP="00822EBA">
      <w:pPr>
        <w:jc w:val="both"/>
        <w:rPr>
          <w:rFonts w:cs="Arial"/>
          <w:szCs w:val="22"/>
        </w:rPr>
      </w:pPr>
      <w:r w:rsidRPr="00E85C90">
        <w:rPr>
          <w:rFonts w:cs="Arial"/>
          <w:szCs w:val="22"/>
        </w:rPr>
        <w:t xml:space="preserve">2002 </w:t>
      </w:r>
      <w:r w:rsidRPr="00E85C90">
        <w:rPr>
          <w:rFonts w:cs="Arial"/>
          <w:szCs w:val="22"/>
        </w:rPr>
        <w:tab/>
      </w:r>
      <w:r w:rsidRPr="00E85C90">
        <w:rPr>
          <w:rFonts w:cs="Arial"/>
          <w:szCs w:val="22"/>
        </w:rPr>
        <w:tab/>
      </w:r>
      <w:r w:rsidRPr="00E85C90">
        <w:rPr>
          <w:rFonts w:cs="Arial"/>
          <w:szCs w:val="22"/>
        </w:rPr>
        <w:tab/>
        <w:t>Bristol Myers Squibb Unrestricted Cancer Research Grant</w:t>
      </w:r>
      <w:r w:rsidRPr="00E85C90">
        <w:rPr>
          <w:rFonts w:cs="Arial"/>
          <w:szCs w:val="22"/>
        </w:rPr>
        <w:tab/>
      </w:r>
    </w:p>
    <w:p w14:paraId="57FB48E8" w14:textId="77777777" w:rsidR="00822EBA" w:rsidRPr="00E85C90" w:rsidRDefault="00822EBA" w:rsidP="00822EBA">
      <w:pPr>
        <w:jc w:val="both"/>
        <w:rPr>
          <w:rFonts w:cs="Arial"/>
          <w:szCs w:val="22"/>
        </w:rPr>
      </w:pPr>
      <w:r w:rsidRPr="00E85C90">
        <w:rPr>
          <w:rFonts w:cs="Arial"/>
          <w:szCs w:val="22"/>
        </w:rPr>
        <w:t xml:space="preserve">2002 </w:t>
      </w:r>
      <w:r w:rsidRPr="00E85C90">
        <w:rPr>
          <w:rFonts w:cs="Arial"/>
          <w:szCs w:val="22"/>
        </w:rPr>
        <w:tab/>
      </w:r>
      <w:r w:rsidRPr="00E85C90">
        <w:rPr>
          <w:rFonts w:cs="Arial"/>
          <w:szCs w:val="22"/>
        </w:rPr>
        <w:tab/>
      </w:r>
      <w:r w:rsidRPr="00E85C90">
        <w:rPr>
          <w:rFonts w:cs="Arial"/>
          <w:szCs w:val="22"/>
        </w:rPr>
        <w:tab/>
        <w:t>AACR – G.H.A. Clowes Memorial Award</w:t>
      </w:r>
    </w:p>
    <w:p w14:paraId="57FB48E9" w14:textId="77777777" w:rsidR="00822EBA" w:rsidRPr="00E85C90" w:rsidRDefault="00822EBA" w:rsidP="00822EBA">
      <w:pPr>
        <w:jc w:val="both"/>
        <w:rPr>
          <w:rFonts w:cs="Arial"/>
          <w:szCs w:val="22"/>
        </w:rPr>
      </w:pPr>
      <w:r w:rsidRPr="00E85C90">
        <w:rPr>
          <w:rFonts w:cs="Arial"/>
          <w:szCs w:val="22"/>
        </w:rPr>
        <w:t>2002</w:t>
      </w:r>
      <w:r w:rsidRPr="00E85C90">
        <w:rPr>
          <w:rFonts w:cs="Arial"/>
          <w:szCs w:val="22"/>
        </w:rPr>
        <w:tab/>
      </w:r>
      <w:r w:rsidRPr="00E85C90">
        <w:rPr>
          <w:rFonts w:cs="Arial"/>
          <w:szCs w:val="22"/>
        </w:rPr>
        <w:tab/>
      </w:r>
      <w:r w:rsidRPr="00E85C90">
        <w:rPr>
          <w:rFonts w:cs="Arial"/>
          <w:szCs w:val="22"/>
        </w:rPr>
        <w:tab/>
        <w:t>Novartis Drew Award in Biomedical Research</w:t>
      </w:r>
    </w:p>
    <w:p w14:paraId="57FB48EA" w14:textId="77777777" w:rsidR="00822EBA" w:rsidRPr="00E85C90" w:rsidRDefault="00822EBA" w:rsidP="00822EBA">
      <w:pPr>
        <w:autoSpaceDE/>
        <w:autoSpaceDN/>
        <w:ind w:left="1440" w:hanging="1440"/>
        <w:jc w:val="both"/>
        <w:rPr>
          <w:rFonts w:cs="Arial"/>
          <w:szCs w:val="22"/>
        </w:rPr>
      </w:pPr>
      <w:r w:rsidRPr="00E85C90">
        <w:rPr>
          <w:rFonts w:cs="Arial"/>
          <w:szCs w:val="22"/>
        </w:rPr>
        <w:t xml:space="preserve">2003           </w:t>
      </w:r>
      <w:r w:rsidRPr="00E85C90">
        <w:rPr>
          <w:rFonts w:cs="Arial"/>
          <w:szCs w:val="22"/>
        </w:rPr>
        <w:tab/>
        <w:t>University of Chicago, Cancer Research Center, Shubitz Award</w:t>
      </w:r>
    </w:p>
    <w:p w14:paraId="57FB48EB" w14:textId="77777777" w:rsidR="00822EBA" w:rsidRPr="00E85C90" w:rsidRDefault="00822EBA" w:rsidP="00822EBA">
      <w:pPr>
        <w:autoSpaceDE/>
        <w:autoSpaceDN/>
        <w:ind w:left="1440" w:hanging="1440"/>
        <w:jc w:val="both"/>
        <w:rPr>
          <w:rFonts w:cs="Arial"/>
          <w:szCs w:val="22"/>
        </w:rPr>
      </w:pPr>
      <w:r w:rsidRPr="00E85C90">
        <w:rPr>
          <w:rFonts w:cs="Arial"/>
          <w:szCs w:val="22"/>
        </w:rPr>
        <w:t>2005</w:t>
      </w:r>
      <w:r w:rsidRPr="00E85C90">
        <w:rPr>
          <w:rFonts w:cs="Arial"/>
          <w:szCs w:val="22"/>
        </w:rPr>
        <w:tab/>
        <w:t>Institute of Medicine</w:t>
      </w:r>
    </w:p>
    <w:p w14:paraId="57FB48EC" w14:textId="77777777" w:rsidR="00822EBA" w:rsidRDefault="00822EBA" w:rsidP="00822EBA">
      <w:pPr>
        <w:autoSpaceDE/>
        <w:autoSpaceDN/>
        <w:ind w:left="1440" w:hanging="1440"/>
        <w:jc w:val="both"/>
        <w:rPr>
          <w:rFonts w:cs="Arial"/>
          <w:szCs w:val="22"/>
        </w:rPr>
      </w:pPr>
      <w:r w:rsidRPr="00E85C90">
        <w:rPr>
          <w:rFonts w:cs="Arial"/>
          <w:szCs w:val="22"/>
        </w:rPr>
        <w:t>2010</w:t>
      </w:r>
      <w:r w:rsidRPr="00E85C90">
        <w:rPr>
          <w:rFonts w:cs="Arial"/>
          <w:szCs w:val="22"/>
        </w:rPr>
        <w:tab/>
        <w:t>ASCO Science of Oncology Award</w:t>
      </w:r>
    </w:p>
    <w:p w14:paraId="57FB48ED" w14:textId="77777777" w:rsidR="00822EBA" w:rsidRDefault="00822EBA" w:rsidP="00822EBA">
      <w:pPr>
        <w:autoSpaceDE/>
        <w:autoSpaceDN/>
        <w:ind w:left="1440" w:hanging="1440"/>
        <w:jc w:val="both"/>
        <w:rPr>
          <w:rFonts w:cs="Arial"/>
          <w:szCs w:val="22"/>
        </w:rPr>
      </w:pPr>
      <w:r>
        <w:rPr>
          <w:rFonts w:cs="Arial"/>
          <w:szCs w:val="22"/>
        </w:rPr>
        <w:t>2014</w:t>
      </w:r>
      <w:r>
        <w:rPr>
          <w:rFonts w:cs="Arial"/>
          <w:szCs w:val="22"/>
        </w:rPr>
        <w:tab/>
        <w:t>National Academy of Science</w:t>
      </w:r>
    </w:p>
    <w:p w14:paraId="57FB48EE" w14:textId="77777777" w:rsidR="0013429A" w:rsidRDefault="0013429A" w:rsidP="00822EBA">
      <w:pPr>
        <w:autoSpaceDE/>
        <w:autoSpaceDN/>
        <w:ind w:left="1440" w:hanging="1440"/>
        <w:jc w:val="both"/>
        <w:rPr>
          <w:rFonts w:cs="Arial"/>
          <w:szCs w:val="22"/>
        </w:rPr>
      </w:pPr>
      <w:r>
        <w:rPr>
          <w:rFonts w:cs="Arial"/>
          <w:szCs w:val="22"/>
        </w:rPr>
        <w:t>2015</w:t>
      </w:r>
      <w:r>
        <w:rPr>
          <w:rFonts w:cs="Arial"/>
          <w:szCs w:val="22"/>
        </w:rPr>
        <w:tab/>
        <w:t>Memorial Sloan Kettering, Sloan Award</w:t>
      </w:r>
    </w:p>
    <w:p w14:paraId="57FB48EF" w14:textId="77777777" w:rsidR="00A02318" w:rsidRDefault="00822EBA" w:rsidP="00574780">
      <w:pPr>
        <w:pStyle w:val="Heading2"/>
        <w:spacing w:before="200"/>
      </w:pPr>
      <w:r>
        <w:t>C.</w:t>
      </w:r>
      <w:r>
        <w:tab/>
        <w:t>Contributions to Science</w:t>
      </w:r>
      <w:r w:rsidR="00A02318">
        <w:tab/>
      </w:r>
    </w:p>
    <w:p w14:paraId="57FB48F0" w14:textId="77777777" w:rsidR="00A02318" w:rsidRDefault="00A02318" w:rsidP="00A02318">
      <w:pPr>
        <w:rPr>
          <w:b/>
        </w:rPr>
      </w:pPr>
      <w:r w:rsidRPr="00EA2B42">
        <w:rPr>
          <w:b/>
        </w:rPr>
        <w:t>Oncolytic viruses</w:t>
      </w:r>
    </w:p>
    <w:p w14:paraId="57FB48F1" w14:textId="77777777" w:rsidR="00A02318" w:rsidRDefault="00A02318" w:rsidP="00A02318">
      <w:r w:rsidRPr="00EA2B42">
        <w:t>In 1992, I had the idea that adenoviruses with mutations in E1a or E1b should replicate in cancer cells that lack Rb or p53, respectively, but should fail to replicate in normal cells.</w:t>
      </w:r>
      <w:r w:rsidR="007154E8">
        <w:t xml:space="preserve"> </w:t>
      </w:r>
      <w:r w:rsidRPr="00EA2B42">
        <w:t>This led to the development of ONYX-015</w:t>
      </w:r>
      <w:r>
        <w:t xml:space="preserve"> (Bischoff et al 1994)</w:t>
      </w:r>
      <w:r w:rsidRPr="00EA2B42">
        <w:t xml:space="preserve"> and Delta-24 adenoviruses</w:t>
      </w:r>
      <w:r>
        <w:t xml:space="preserve"> (Jiang et al 2007)</w:t>
      </w:r>
      <w:r w:rsidRPr="00EA2B42">
        <w:t xml:space="preserve">. The former is approved for treating nasopharyngeal carcinoma in China, the latter is undergoing Phase II clinical trials for treating glioblastoma.  </w:t>
      </w:r>
      <w:r>
        <w:lastRenderedPageBreak/>
        <w:t>Tumor selectivity for ONYX-015 was based on the assumption that the major function of E1B was to block p53 activity (Ries et al 2000), so that virus could replicate efficiently without p53-medieated apoptosis. However, E1B has additional functions p53-independent functions relating to translation of viral late mRNAs, leading to a re-examination of the selectivity of this virus and new insights into E1B activity (O’Shea et al 2005).</w:t>
      </w:r>
    </w:p>
    <w:p w14:paraId="57FB48F2" w14:textId="77777777" w:rsidR="00A02318" w:rsidRPr="00574780" w:rsidRDefault="00A02318" w:rsidP="00A02318">
      <w:pPr>
        <w:rPr>
          <w:sz w:val="10"/>
          <w:szCs w:val="10"/>
        </w:rPr>
      </w:pPr>
    </w:p>
    <w:p w14:paraId="57FB48F3" w14:textId="77777777" w:rsidR="00A02318" w:rsidRPr="001B25E7" w:rsidRDefault="00A02318" w:rsidP="00A02318">
      <w:pPr>
        <w:pStyle w:val="ListParagraph"/>
        <w:numPr>
          <w:ilvl w:val="0"/>
          <w:numId w:val="26"/>
        </w:numPr>
        <w:spacing w:after="120"/>
        <w:jc w:val="both"/>
        <w:rPr>
          <w:rFonts w:ascii="Tahoma" w:hAnsi="Tahoma"/>
          <w:sz w:val="20"/>
        </w:rPr>
      </w:pPr>
      <w:r w:rsidRPr="001B25E7">
        <w:rPr>
          <w:rFonts w:ascii="Tahoma" w:hAnsi="Tahoma"/>
          <w:sz w:val="20"/>
        </w:rPr>
        <w:t xml:space="preserve">Bischoff, J. R., Kirn, D. H., Williams, A., Heise, C., Horn, S., Muna, M., Ng, L., Nye, J. A., Sampson-Johannes, A., Fattaey, A., and </w:t>
      </w:r>
      <w:r w:rsidRPr="001B25E7">
        <w:rPr>
          <w:rFonts w:ascii="Tahoma" w:hAnsi="Tahoma"/>
          <w:b/>
          <w:sz w:val="20"/>
        </w:rPr>
        <w:t>McCormick, F.,</w:t>
      </w:r>
      <w:r w:rsidRPr="001B25E7">
        <w:rPr>
          <w:rFonts w:ascii="Tahoma" w:hAnsi="Tahoma"/>
          <w:sz w:val="20"/>
        </w:rPr>
        <w:t xml:space="preserve"> 1996. An adenovirus mutant that replicates selectively in p53-deficient human tumor cells. </w:t>
      </w:r>
      <w:r w:rsidRPr="001B25E7">
        <w:rPr>
          <w:rFonts w:ascii="Tahoma" w:hAnsi="Tahoma"/>
          <w:i/>
          <w:sz w:val="20"/>
        </w:rPr>
        <w:t>Science</w:t>
      </w:r>
      <w:r w:rsidRPr="001B25E7">
        <w:rPr>
          <w:rFonts w:ascii="Tahoma" w:hAnsi="Tahoma"/>
          <w:sz w:val="20"/>
        </w:rPr>
        <w:t xml:space="preserve"> </w:t>
      </w:r>
      <w:r w:rsidRPr="001B25E7">
        <w:rPr>
          <w:rFonts w:ascii="Tahoma" w:hAnsi="Tahoma"/>
          <w:bCs/>
          <w:sz w:val="20"/>
        </w:rPr>
        <w:t>274:</w:t>
      </w:r>
      <w:r w:rsidRPr="001B25E7">
        <w:rPr>
          <w:rFonts w:ascii="Tahoma" w:hAnsi="Tahoma"/>
          <w:sz w:val="20"/>
        </w:rPr>
        <w:t>373-6.</w:t>
      </w:r>
    </w:p>
    <w:p w14:paraId="57FB48F4" w14:textId="77777777" w:rsidR="00A02318" w:rsidRPr="001B25E7" w:rsidRDefault="00A02318" w:rsidP="00A02318">
      <w:pPr>
        <w:pStyle w:val="ListParagraph"/>
        <w:widowControl w:val="0"/>
        <w:numPr>
          <w:ilvl w:val="0"/>
          <w:numId w:val="26"/>
        </w:numPr>
        <w:adjustRightInd w:val="0"/>
        <w:jc w:val="both"/>
        <w:rPr>
          <w:rFonts w:ascii="Tahoma" w:hAnsi="Tahoma" w:cs="Tahoma"/>
          <w:sz w:val="20"/>
        </w:rPr>
      </w:pPr>
      <w:r w:rsidRPr="001B25E7">
        <w:rPr>
          <w:rFonts w:ascii="Tahoma" w:hAnsi="Tahoma" w:cs="Tahoma"/>
          <w:sz w:val="20"/>
        </w:rPr>
        <w:t xml:space="preserve">Jiang, H., Gomez-Manzano, C., Aoki, H., Alonso, M. M., Kondo, S., </w:t>
      </w:r>
      <w:r w:rsidRPr="001B25E7">
        <w:rPr>
          <w:rFonts w:ascii="Tahoma" w:hAnsi="Tahoma" w:cs="Tahoma"/>
          <w:b/>
          <w:sz w:val="20"/>
        </w:rPr>
        <w:t>McCormick, F</w:t>
      </w:r>
      <w:r w:rsidRPr="001B25E7">
        <w:rPr>
          <w:rFonts w:ascii="Tahoma" w:hAnsi="Tahoma" w:cs="Tahoma"/>
          <w:sz w:val="20"/>
        </w:rPr>
        <w:t xml:space="preserve">., Xu, J., Kondo, Y., Bekele, B. N., Colman, H., Lang, F. F., &amp; Fueyo, J. 2007. Examination of the therapeutic potential of Delta-24-RGD in brain tumor stem cells: role of autophagic cell death. </w:t>
      </w:r>
      <w:r w:rsidRPr="001B25E7">
        <w:rPr>
          <w:rFonts w:ascii="Tahoma" w:hAnsi="Tahoma" w:cs="Tahoma"/>
          <w:i/>
          <w:iCs/>
          <w:sz w:val="20"/>
        </w:rPr>
        <w:t>J Natl Cancer Inst</w:t>
      </w:r>
      <w:r w:rsidRPr="001B25E7">
        <w:rPr>
          <w:rFonts w:ascii="Tahoma" w:hAnsi="Tahoma" w:cs="Tahoma"/>
          <w:sz w:val="20"/>
        </w:rPr>
        <w:t xml:space="preserve"> </w:t>
      </w:r>
      <w:r w:rsidRPr="001B25E7">
        <w:rPr>
          <w:rFonts w:ascii="Tahoma" w:hAnsi="Tahoma" w:cs="Tahoma"/>
          <w:iCs/>
          <w:sz w:val="20"/>
        </w:rPr>
        <w:t>99</w:t>
      </w:r>
      <w:r w:rsidRPr="001B25E7">
        <w:rPr>
          <w:rFonts w:ascii="Tahoma" w:hAnsi="Tahoma" w:cs="Tahoma"/>
          <w:sz w:val="20"/>
        </w:rPr>
        <w:t>:1410-1414.</w:t>
      </w:r>
    </w:p>
    <w:p w14:paraId="57FB48F5" w14:textId="77777777" w:rsidR="00A02318" w:rsidRDefault="00A02318" w:rsidP="00A02318">
      <w:pPr>
        <w:pStyle w:val="ListParagraph"/>
        <w:numPr>
          <w:ilvl w:val="0"/>
          <w:numId w:val="26"/>
        </w:numPr>
        <w:jc w:val="both"/>
      </w:pPr>
      <w:r w:rsidRPr="001B25E7">
        <w:rPr>
          <w:rFonts w:ascii="Tahoma" w:hAnsi="Tahoma"/>
          <w:position w:val="-4"/>
          <w:sz w:val="20"/>
        </w:rPr>
        <w:t xml:space="preserve">Ries S., Brandts C., Chung A., Biederer C., Hann B., Lipner E., </w:t>
      </w:r>
      <w:r w:rsidRPr="001B25E7">
        <w:rPr>
          <w:rFonts w:ascii="Tahoma" w:hAnsi="Tahoma"/>
          <w:b/>
          <w:position w:val="-4"/>
          <w:sz w:val="20"/>
        </w:rPr>
        <w:t>McCormick F.,</w:t>
      </w:r>
      <w:r w:rsidRPr="001B25E7">
        <w:rPr>
          <w:rFonts w:ascii="Tahoma" w:hAnsi="Tahoma"/>
          <w:position w:val="-4"/>
          <w:sz w:val="20"/>
        </w:rPr>
        <w:t xml:space="preserve"> Korn M., 2000. Loss of p14</w:t>
      </w:r>
      <w:r w:rsidRPr="001B25E7">
        <w:rPr>
          <w:rFonts w:ascii="Tahoma" w:hAnsi="Tahoma"/>
          <w:position w:val="-4"/>
          <w:sz w:val="20"/>
          <w:vertAlign w:val="superscript"/>
        </w:rPr>
        <w:t>ARF</w:t>
      </w:r>
      <w:r w:rsidRPr="001B25E7">
        <w:rPr>
          <w:rFonts w:ascii="Tahoma" w:hAnsi="Tahoma"/>
          <w:position w:val="-4"/>
          <w:sz w:val="20"/>
        </w:rPr>
        <w:t xml:space="preserve"> in tumor cells facilitates replication of the adenovirus mutant dl1520 (ONYX-015) </w:t>
      </w:r>
      <w:r w:rsidRPr="001B25E7">
        <w:rPr>
          <w:rFonts w:ascii="Tahoma" w:hAnsi="Tahoma"/>
          <w:i/>
          <w:position w:val="-4"/>
          <w:sz w:val="20"/>
        </w:rPr>
        <w:t xml:space="preserve">Nature Medicine </w:t>
      </w:r>
      <w:r w:rsidRPr="001B25E7">
        <w:rPr>
          <w:rFonts w:ascii="Tahoma" w:hAnsi="Tahoma"/>
          <w:bCs/>
          <w:position w:val="-4"/>
          <w:sz w:val="20"/>
        </w:rPr>
        <w:t>6:</w:t>
      </w:r>
      <w:r w:rsidRPr="001B25E7">
        <w:rPr>
          <w:rFonts w:ascii="Tahoma" w:hAnsi="Tahoma"/>
          <w:position w:val="-4"/>
          <w:sz w:val="20"/>
        </w:rPr>
        <w:t>1128-33</w:t>
      </w:r>
    </w:p>
    <w:p w14:paraId="57FB48F6" w14:textId="77777777" w:rsidR="00A02318" w:rsidRPr="001B25E7" w:rsidRDefault="00A02318" w:rsidP="00A02318">
      <w:pPr>
        <w:pStyle w:val="ListParagraph"/>
        <w:numPr>
          <w:ilvl w:val="0"/>
          <w:numId w:val="26"/>
        </w:numPr>
        <w:jc w:val="both"/>
        <w:rPr>
          <w:rFonts w:ascii="Tahoma" w:hAnsi="Tahoma"/>
          <w:bCs/>
          <w:position w:val="-4"/>
          <w:sz w:val="20"/>
        </w:rPr>
      </w:pPr>
      <w:r w:rsidRPr="001B25E7">
        <w:rPr>
          <w:rFonts w:ascii="Tahoma" w:hAnsi="Tahoma"/>
          <w:bCs/>
          <w:position w:val="-4"/>
          <w:sz w:val="20"/>
        </w:rPr>
        <w:t xml:space="preserve">O’Shea,C., Choi S., Bagus B., </w:t>
      </w:r>
      <w:r w:rsidRPr="001B25E7">
        <w:rPr>
          <w:rFonts w:ascii="Tahoma" w:hAnsi="Tahoma"/>
          <w:b/>
          <w:bCs/>
          <w:position w:val="-4"/>
          <w:sz w:val="20"/>
        </w:rPr>
        <w:t>McCormick, F</w:t>
      </w:r>
      <w:r w:rsidRPr="001B25E7">
        <w:rPr>
          <w:rFonts w:ascii="Tahoma" w:hAnsi="Tahoma"/>
          <w:bCs/>
          <w:position w:val="-4"/>
          <w:sz w:val="20"/>
        </w:rPr>
        <w:t>.  2005.  Heat shock phenocopies E1B-55K late functions and selectively sensitizes refractory tumor cells to ONYX-015 oncolytic viral therapy.</w:t>
      </w:r>
    </w:p>
    <w:p w14:paraId="57FB48F7" w14:textId="77777777" w:rsidR="00A02318" w:rsidRPr="001B25E7" w:rsidRDefault="00A02318" w:rsidP="00A02318">
      <w:pPr>
        <w:pStyle w:val="ListParagraph"/>
        <w:numPr>
          <w:ilvl w:val="0"/>
          <w:numId w:val="26"/>
        </w:numPr>
        <w:spacing w:after="120"/>
        <w:jc w:val="both"/>
        <w:rPr>
          <w:rFonts w:ascii="Tahoma" w:hAnsi="Tahoma"/>
          <w:sz w:val="20"/>
        </w:rPr>
      </w:pPr>
      <w:r w:rsidRPr="001B25E7">
        <w:rPr>
          <w:rFonts w:ascii="Tahoma" w:hAnsi="Tahoma"/>
          <w:bCs/>
          <w:i/>
          <w:position w:val="-4"/>
          <w:sz w:val="20"/>
        </w:rPr>
        <w:t>Cancer Cell</w:t>
      </w:r>
      <w:r w:rsidRPr="001B25E7">
        <w:rPr>
          <w:rFonts w:ascii="Tahoma" w:hAnsi="Tahoma"/>
          <w:bCs/>
          <w:position w:val="-4"/>
          <w:sz w:val="20"/>
        </w:rPr>
        <w:t xml:space="preserve"> 8: 61-74</w:t>
      </w:r>
    </w:p>
    <w:p w14:paraId="57FB48F8" w14:textId="77777777" w:rsidR="00A02318" w:rsidRPr="00574780" w:rsidRDefault="00A02318" w:rsidP="00A02318">
      <w:pPr>
        <w:rPr>
          <w:sz w:val="10"/>
          <w:szCs w:val="10"/>
        </w:rPr>
      </w:pPr>
    </w:p>
    <w:p w14:paraId="57FB48F9" w14:textId="77777777" w:rsidR="00A02318" w:rsidRPr="001B25E7" w:rsidRDefault="00A02318" w:rsidP="00A02318">
      <w:pPr>
        <w:rPr>
          <w:b/>
        </w:rPr>
      </w:pPr>
      <w:r w:rsidRPr="001B25E7">
        <w:rPr>
          <w:b/>
        </w:rPr>
        <w:t>Ras GAP and NF1</w:t>
      </w:r>
    </w:p>
    <w:p w14:paraId="57FB48FA" w14:textId="77777777" w:rsidR="00A02318" w:rsidRDefault="00A02318" w:rsidP="00A02318">
      <w:pPr>
        <w:jc w:val="both"/>
      </w:pPr>
      <w:r>
        <w:t>I began working on Ras in 1984. My group developed antibodies against codon-12 mutants, and showed that blocking these mutants cells reversed transformation. This was one of the first demonstrations that targeting a mutant Ras protein could be an effective therapeutic strategy. I also published the first model for the tertiary structure of Ras p21 (McCormick et al 1985).  I discovered GAP activity (Trahey et al 1987) and cloned the first human GAP, p120GAP and the first Rap1GAP. My group showed that neurofibromin is a GAP that works on Ras p21, thus providing a molecular mechanism for NF1, a disease that afflicts 1 in 3500 people worldwide (Martin et al 1990). In collaboration with Dr</w:t>
      </w:r>
      <w:r w:rsidR="007154E8">
        <w:t>.</w:t>
      </w:r>
      <w:r>
        <w:t xml:space="preserve"> Kevin Shannon, I showed the NF1 gene that it is a tumor suppressor in malignant myeloid disorders. My group also showed, for the first time, that neurofibromin is mutated in sporadic cancers. More recently, we showed that neurofibromin functions in a complex with SPRED1, the gene responsible for Legius Syndrome (Stowe et al 2012. In collaboration with Dr Kate Rauen, we showed that another hereditary syndrome, Cardio-Facio-Cutaneous disease, is caused by germline mutations in B-Raf or MEK.</w:t>
      </w:r>
    </w:p>
    <w:p w14:paraId="57FB48FB" w14:textId="77777777" w:rsidR="00A02318" w:rsidRPr="00574780" w:rsidRDefault="00A02318" w:rsidP="00A02318">
      <w:pPr>
        <w:rPr>
          <w:sz w:val="10"/>
          <w:szCs w:val="10"/>
        </w:rPr>
      </w:pPr>
    </w:p>
    <w:p w14:paraId="57FB48FC" w14:textId="77777777" w:rsidR="00A02318" w:rsidRPr="00B26450" w:rsidRDefault="00A02318" w:rsidP="00A02318">
      <w:pPr>
        <w:pStyle w:val="ListParagraph"/>
        <w:numPr>
          <w:ilvl w:val="0"/>
          <w:numId w:val="23"/>
        </w:numPr>
        <w:spacing w:after="120"/>
        <w:jc w:val="both"/>
        <w:rPr>
          <w:rFonts w:ascii="Tahoma" w:hAnsi="Tahoma"/>
          <w:sz w:val="20"/>
        </w:rPr>
      </w:pPr>
      <w:r w:rsidRPr="00B26450">
        <w:rPr>
          <w:rFonts w:ascii="Tahoma" w:hAnsi="Tahoma"/>
          <w:b/>
          <w:sz w:val="20"/>
        </w:rPr>
        <w:t>McCormick, F.,</w:t>
      </w:r>
      <w:r w:rsidRPr="00B26450">
        <w:rPr>
          <w:rFonts w:ascii="Tahoma" w:hAnsi="Tahoma"/>
          <w:sz w:val="20"/>
        </w:rPr>
        <w:t xml:space="preserve"> Clark, B. F., la Cour, T. F., Kjeldgaard, M., Norskov-Lauritsen, L., and Nyborg, J. 1985. A model for the tertiary structure of p21, the product of the ras oncogene. </w:t>
      </w:r>
      <w:r w:rsidRPr="00B26450">
        <w:rPr>
          <w:rFonts w:ascii="Tahoma" w:hAnsi="Tahoma"/>
          <w:i/>
          <w:sz w:val="20"/>
        </w:rPr>
        <w:t>Science</w:t>
      </w:r>
      <w:r w:rsidRPr="00B26450">
        <w:rPr>
          <w:rFonts w:ascii="Tahoma" w:hAnsi="Tahoma"/>
          <w:sz w:val="20"/>
        </w:rPr>
        <w:t xml:space="preserve"> </w:t>
      </w:r>
      <w:r w:rsidRPr="00B26450">
        <w:rPr>
          <w:rFonts w:ascii="Tahoma" w:hAnsi="Tahoma"/>
          <w:bCs/>
          <w:sz w:val="20"/>
        </w:rPr>
        <w:t>230:</w:t>
      </w:r>
      <w:r w:rsidRPr="00B26450">
        <w:rPr>
          <w:rFonts w:ascii="Tahoma" w:hAnsi="Tahoma"/>
          <w:sz w:val="20"/>
        </w:rPr>
        <w:t>78-82.</w:t>
      </w:r>
    </w:p>
    <w:p w14:paraId="57FB48FD" w14:textId="77777777" w:rsidR="00A02318" w:rsidRPr="00B26450" w:rsidRDefault="00A02318" w:rsidP="00A02318">
      <w:pPr>
        <w:pStyle w:val="ListParagraph"/>
        <w:numPr>
          <w:ilvl w:val="0"/>
          <w:numId w:val="23"/>
        </w:numPr>
        <w:spacing w:after="120"/>
        <w:jc w:val="both"/>
        <w:rPr>
          <w:rFonts w:ascii="Tahoma" w:hAnsi="Tahoma"/>
          <w:sz w:val="20"/>
        </w:rPr>
      </w:pPr>
      <w:r w:rsidRPr="00B26450">
        <w:rPr>
          <w:rFonts w:ascii="Tahoma" w:hAnsi="Tahoma"/>
          <w:sz w:val="20"/>
        </w:rPr>
        <w:t xml:space="preserve">Trahey, M., and </w:t>
      </w:r>
      <w:r w:rsidRPr="00B26450">
        <w:rPr>
          <w:rFonts w:ascii="Tahoma" w:hAnsi="Tahoma"/>
          <w:b/>
          <w:sz w:val="20"/>
        </w:rPr>
        <w:t>McCormick, F.,</w:t>
      </w:r>
      <w:r w:rsidRPr="00B26450">
        <w:rPr>
          <w:rFonts w:ascii="Tahoma" w:hAnsi="Tahoma"/>
          <w:sz w:val="20"/>
        </w:rPr>
        <w:t xml:space="preserve"> 1987. A cytoplasmic protein stimulates normal N-ras p21 GTPase, but does not affect oncogenic mutants. </w:t>
      </w:r>
      <w:r w:rsidRPr="00B26450">
        <w:rPr>
          <w:rFonts w:ascii="Tahoma" w:hAnsi="Tahoma"/>
          <w:i/>
          <w:sz w:val="20"/>
        </w:rPr>
        <w:t>Science</w:t>
      </w:r>
      <w:r w:rsidRPr="00B26450">
        <w:rPr>
          <w:rFonts w:ascii="Tahoma" w:hAnsi="Tahoma"/>
          <w:sz w:val="20"/>
        </w:rPr>
        <w:t xml:space="preserve"> </w:t>
      </w:r>
      <w:r w:rsidRPr="00B26450">
        <w:rPr>
          <w:rFonts w:ascii="Tahoma" w:hAnsi="Tahoma"/>
          <w:bCs/>
          <w:sz w:val="20"/>
        </w:rPr>
        <w:t>238:</w:t>
      </w:r>
      <w:r w:rsidRPr="00B26450">
        <w:rPr>
          <w:rFonts w:ascii="Tahoma" w:hAnsi="Tahoma"/>
          <w:sz w:val="20"/>
        </w:rPr>
        <w:t>542-5.</w:t>
      </w:r>
    </w:p>
    <w:p w14:paraId="57FB48FE" w14:textId="77777777" w:rsidR="00A02318" w:rsidRPr="00B26450" w:rsidRDefault="00A02318" w:rsidP="00A02318">
      <w:pPr>
        <w:pStyle w:val="ListParagraph"/>
        <w:numPr>
          <w:ilvl w:val="0"/>
          <w:numId w:val="23"/>
        </w:numPr>
        <w:spacing w:after="120"/>
        <w:jc w:val="both"/>
        <w:rPr>
          <w:rFonts w:ascii="Tahoma" w:hAnsi="Tahoma"/>
          <w:sz w:val="20"/>
        </w:rPr>
      </w:pPr>
      <w:r w:rsidRPr="00B26450">
        <w:rPr>
          <w:rFonts w:ascii="Tahoma" w:hAnsi="Tahoma"/>
          <w:sz w:val="20"/>
        </w:rPr>
        <w:t xml:space="preserve">Martin, G. A., Viskochil, D., Bollag, G., McCabe, P. C., Crosier, W. J., Haubruck, H., Conroy, L., Clark, R., O'Connell, P., Cawthon, R. M., and </w:t>
      </w:r>
      <w:r w:rsidRPr="00B26450">
        <w:rPr>
          <w:rFonts w:ascii="Tahoma" w:hAnsi="Tahoma"/>
          <w:b/>
          <w:sz w:val="20"/>
        </w:rPr>
        <w:t>McCormick, F.,</w:t>
      </w:r>
      <w:r w:rsidRPr="00B26450">
        <w:rPr>
          <w:rFonts w:ascii="Tahoma" w:hAnsi="Tahoma"/>
          <w:sz w:val="20"/>
        </w:rPr>
        <w:t xml:space="preserve"> 1990. The GAP-related domain of the neurofibromatosis type 1 gene product interacts with ras p21. </w:t>
      </w:r>
      <w:r w:rsidRPr="00B26450">
        <w:rPr>
          <w:rFonts w:ascii="Tahoma" w:hAnsi="Tahoma"/>
          <w:i/>
          <w:sz w:val="20"/>
        </w:rPr>
        <w:t>Cell</w:t>
      </w:r>
      <w:r w:rsidRPr="00B26450">
        <w:rPr>
          <w:rFonts w:ascii="Tahoma" w:hAnsi="Tahoma"/>
          <w:sz w:val="20"/>
        </w:rPr>
        <w:t xml:space="preserve"> </w:t>
      </w:r>
      <w:r w:rsidRPr="00B26450">
        <w:rPr>
          <w:rFonts w:ascii="Tahoma" w:hAnsi="Tahoma"/>
          <w:bCs/>
          <w:sz w:val="20"/>
        </w:rPr>
        <w:t>63:</w:t>
      </w:r>
      <w:r w:rsidRPr="00B26450">
        <w:rPr>
          <w:rFonts w:ascii="Tahoma" w:hAnsi="Tahoma"/>
          <w:sz w:val="20"/>
        </w:rPr>
        <w:t>843-9.</w:t>
      </w:r>
    </w:p>
    <w:p w14:paraId="57FB48FF" w14:textId="77777777" w:rsidR="00A02318" w:rsidRPr="00B26450" w:rsidRDefault="00A02318" w:rsidP="00A02318">
      <w:pPr>
        <w:pStyle w:val="ListParagraph"/>
        <w:numPr>
          <w:ilvl w:val="0"/>
          <w:numId w:val="23"/>
        </w:numPr>
        <w:jc w:val="both"/>
        <w:rPr>
          <w:rFonts w:cs="Arial"/>
          <w:bCs/>
          <w:position w:val="-4"/>
        </w:rPr>
      </w:pPr>
      <w:r w:rsidRPr="00B26450">
        <w:rPr>
          <w:rFonts w:ascii="Tahoma" w:hAnsi="Tahoma" w:cs="Tahoma"/>
          <w:sz w:val="20"/>
        </w:rPr>
        <w:t xml:space="preserve">Stowe IB, Mercado EL, Stowe TR, Bell EL, Oses-Prieto JA, Hernández H, Burlingame AL, </w:t>
      </w:r>
      <w:r w:rsidRPr="00B26450">
        <w:rPr>
          <w:rFonts w:ascii="Tahoma" w:hAnsi="Tahoma" w:cs="Tahoma"/>
          <w:b/>
          <w:sz w:val="20"/>
        </w:rPr>
        <w:t>McCormick F</w:t>
      </w:r>
      <w:r w:rsidRPr="00B26450">
        <w:rPr>
          <w:rFonts w:ascii="Tahoma" w:hAnsi="Tahoma" w:cs="Tahoma"/>
          <w:sz w:val="20"/>
        </w:rPr>
        <w:t xml:space="preserve">. 2012. A shared molecular mechanism underlies the human rasopathies Legius syndrome and Neurofibromatosis-1. </w:t>
      </w:r>
      <w:r w:rsidRPr="00B26450">
        <w:rPr>
          <w:rFonts w:ascii="Tahoma" w:hAnsi="Tahoma" w:cs="Tahoma"/>
          <w:i/>
          <w:sz w:val="20"/>
        </w:rPr>
        <w:t>Genes Dev</w:t>
      </w:r>
      <w:r w:rsidRPr="00B26450">
        <w:rPr>
          <w:rFonts w:ascii="Tahoma" w:hAnsi="Tahoma" w:cs="Tahoma"/>
          <w:sz w:val="20"/>
        </w:rPr>
        <w:t xml:space="preserve"> 26, 1421-6. </w:t>
      </w:r>
    </w:p>
    <w:p w14:paraId="57FB4900" w14:textId="77777777" w:rsidR="00A02318" w:rsidRPr="00574780" w:rsidRDefault="00A02318" w:rsidP="00A02318">
      <w:pPr>
        <w:rPr>
          <w:sz w:val="10"/>
          <w:szCs w:val="10"/>
        </w:rPr>
      </w:pPr>
    </w:p>
    <w:p w14:paraId="57FB4901" w14:textId="77777777" w:rsidR="00A02318" w:rsidRPr="001043AE" w:rsidRDefault="00A02318" w:rsidP="00A02318">
      <w:pPr>
        <w:rPr>
          <w:b/>
        </w:rPr>
      </w:pPr>
      <w:r w:rsidRPr="001043AE">
        <w:rPr>
          <w:b/>
        </w:rPr>
        <w:t>Signal Transduction</w:t>
      </w:r>
    </w:p>
    <w:p w14:paraId="57FB4902" w14:textId="77777777" w:rsidR="00A02318" w:rsidRDefault="00A02318" w:rsidP="00A02318">
      <w:r>
        <w:t xml:space="preserve">In addition to analysis of proteins that regulate Ras, we have made several contributions to understanding pathways downstream and to other signaling pathways that are important in cancer cells. For example, we showed that cAMP signaling interferes with Ras signaling through direct effects on Raf kinase activity (Cook et al 1993). We were the first group to show that Raf kinase can be activated by Ras in vitro, as long as the Ras protein is fully processed and inserted in a membrane-like environment (Stokoe et al 1997).  We showed that Rac and Rho proteins are essential for Ras transformation (Qiu et al 1995). </w:t>
      </w:r>
    </w:p>
    <w:p w14:paraId="57FB4903" w14:textId="77777777" w:rsidR="00A02318" w:rsidRDefault="00A02318" w:rsidP="00A02318">
      <w:r>
        <w:t xml:space="preserve">We also analyzed relationships between Ras signaling and other pathways, and showed that cyclin D1, a known target of MAPK signaling, is also a target of the </w:t>
      </w:r>
      <w:r w:rsidRPr="001B25E7">
        <w:rPr>
          <w:rFonts w:ascii="Symbol" w:hAnsi="Symbol"/>
        </w:rPr>
        <w:t></w:t>
      </w:r>
      <w:r>
        <w:t>-catenin pathway: this was one of the first targets identified for this critical signaling pathway.</w:t>
      </w:r>
    </w:p>
    <w:p w14:paraId="57FB4904" w14:textId="77777777" w:rsidR="00A02318" w:rsidRPr="00574780" w:rsidRDefault="00A02318" w:rsidP="00A02318">
      <w:pPr>
        <w:rPr>
          <w:sz w:val="10"/>
          <w:szCs w:val="10"/>
        </w:rPr>
      </w:pPr>
    </w:p>
    <w:p w14:paraId="57FB4905" w14:textId="77777777" w:rsidR="00A02318" w:rsidRPr="001043AE" w:rsidRDefault="00A02318" w:rsidP="00A02318">
      <w:pPr>
        <w:pStyle w:val="ListParagraph"/>
        <w:numPr>
          <w:ilvl w:val="0"/>
          <w:numId w:val="27"/>
        </w:numPr>
      </w:pPr>
      <w:r w:rsidRPr="001B25E7">
        <w:rPr>
          <w:rFonts w:ascii="Tahoma" w:hAnsi="Tahoma"/>
          <w:sz w:val="20"/>
        </w:rPr>
        <w:t xml:space="preserve">Cook, S. J., and </w:t>
      </w:r>
      <w:r w:rsidRPr="001B25E7">
        <w:rPr>
          <w:rFonts w:ascii="Tahoma" w:hAnsi="Tahoma"/>
          <w:b/>
          <w:sz w:val="20"/>
        </w:rPr>
        <w:t xml:space="preserve">McCormick, F., </w:t>
      </w:r>
      <w:r w:rsidRPr="001B25E7">
        <w:rPr>
          <w:rFonts w:ascii="Tahoma" w:hAnsi="Tahoma"/>
          <w:sz w:val="20"/>
        </w:rPr>
        <w:t xml:space="preserve">1993. Inhibition by cAMP of Ras-dependent activation of Raf. </w:t>
      </w:r>
      <w:r w:rsidRPr="001B25E7">
        <w:rPr>
          <w:rFonts w:ascii="Tahoma" w:hAnsi="Tahoma"/>
          <w:i/>
          <w:sz w:val="20"/>
        </w:rPr>
        <w:t>Science</w:t>
      </w:r>
      <w:r w:rsidRPr="001B25E7">
        <w:rPr>
          <w:rFonts w:ascii="Tahoma" w:hAnsi="Tahoma"/>
          <w:sz w:val="20"/>
        </w:rPr>
        <w:t xml:space="preserve"> </w:t>
      </w:r>
      <w:r w:rsidRPr="001B25E7">
        <w:rPr>
          <w:rFonts w:ascii="Tahoma" w:hAnsi="Tahoma"/>
          <w:bCs/>
          <w:sz w:val="20"/>
        </w:rPr>
        <w:t>262:</w:t>
      </w:r>
      <w:r w:rsidRPr="001B25E7">
        <w:rPr>
          <w:rFonts w:ascii="Tahoma" w:hAnsi="Tahoma"/>
          <w:sz w:val="20"/>
        </w:rPr>
        <w:t>1069-72.</w:t>
      </w:r>
    </w:p>
    <w:p w14:paraId="57FB4906" w14:textId="77777777" w:rsidR="00A02318" w:rsidRPr="001B25E7" w:rsidRDefault="00A02318" w:rsidP="00A02318">
      <w:pPr>
        <w:pStyle w:val="ListParagraph"/>
        <w:numPr>
          <w:ilvl w:val="0"/>
          <w:numId w:val="27"/>
        </w:numPr>
        <w:tabs>
          <w:tab w:val="left" w:pos="720"/>
        </w:tabs>
        <w:autoSpaceDE/>
        <w:autoSpaceDN/>
        <w:rPr>
          <w:rFonts w:ascii="Tahoma" w:hAnsi="Tahoma"/>
          <w:position w:val="-4"/>
          <w:sz w:val="20"/>
        </w:rPr>
      </w:pPr>
      <w:r w:rsidRPr="001B25E7">
        <w:rPr>
          <w:rFonts w:ascii="Tahoma" w:hAnsi="Tahoma"/>
          <w:sz w:val="20"/>
        </w:rPr>
        <w:t xml:space="preserve">Stokoe, D., and </w:t>
      </w:r>
      <w:r w:rsidRPr="001B25E7">
        <w:rPr>
          <w:rFonts w:ascii="Tahoma" w:hAnsi="Tahoma"/>
          <w:b/>
          <w:sz w:val="20"/>
        </w:rPr>
        <w:t>McCormick, F.,</w:t>
      </w:r>
      <w:r w:rsidRPr="001B25E7">
        <w:rPr>
          <w:rFonts w:ascii="Tahoma" w:hAnsi="Tahoma"/>
          <w:sz w:val="20"/>
        </w:rPr>
        <w:t xml:space="preserve"> 1997. Activation of c-Raf-1 by Ras and Src through different mechanisms: activation in vivo and in vitro. </w:t>
      </w:r>
      <w:r w:rsidRPr="001B25E7">
        <w:rPr>
          <w:rFonts w:ascii="Tahoma" w:hAnsi="Tahoma"/>
          <w:i/>
          <w:sz w:val="20"/>
        </w:rPr>
        <w:t>Embo J</w:t>
      </w:r>
      <w:r w:rsidRPr="001B25E7">
        <w:rPr>
          <w:rFonts w:ascii="Tahoma" w:hAnsi="Tahoma"/>
          <w:sz w:val="20"/>
        </w:rPr>
        <w:t xml:space="preserve"> </w:t>
      </w:r>
      <w:r w:rsidRPr="001B25E7">
        <w:rPr>
          <w:rFonts w:ascii="Tahoma" w:hAnsi="Tahoma"/>
          <w:bCs/>
          <w:sz w:val="20"/>
        </w:rPr>
        <w:t>16:</w:t>
      </w:r>
      <w:r w:rsidRPr="001B25E7">
        <w:rPr>
          <w:rFonts w:ascii="Tahoma" w:hAnsi="Tahoma"/>
          <w:sz w:val="20"/>
        </w:rPr>
        <w:t>2384-96</w:t>
      </w:r>
    </w:p>
    <w:p w14:paraId="57FB4907" w14:textId="77777777" w:rsidR="00A02318" w:rsidRDefault="00A02318" w:rsidP="00A02318">
      <w:pPr>
        <w:pStyle w:val="ListParagraph"/>
        <w:numPr>
          <w:ilvl w:val="0"/>
          <w:numId w:val="27"/>
        </w:numPr>
      </w:pPr>
      <w:r w:rsidRPr="001B25E7">
        <w:rPr>
          <w:rFonts w:ascii="Tahoma" w:hAnsi="Tahoma"/>
          <w:sz w:val="20"/>
        </w:rPr>
        <w:lastRenderedPageBreak/>
        <w:t xml:space="preserve">Qiu, R. G., Chen, J., Kirn, D., </w:t>
      </w:r>
      <w:r w:rsidRPr="001B25E7">
        <w:rPr>
          <w:rFonts w:ascii="Tahoma" w:hAnsi="Tahoma"/>
          <w:b/>
          <w:sz w:val="20"/>
        </w:rPr>
        <w:t xml:space="preserve">McCormick, F., </w:t>
      </w:r>
      <w:r w:rsidRPr="001B25E7">
        <w:rPr>
          <w:rFonts w:ascii="Tahoma" w:hAnsi="Tahoma"/>
          <w:sz w:val="20"/>
        </w:rPr>
        <w:t xml:space="preserve">and Symons, M. 1995. An essential role for Rac in Ras transformation. </w:t>
      </w:r>
      <w:r w:rsidRPr="001B25E7">
        <w:rPr>
          <w:rFonts w:ascii="Tahoma" w:hAnsi="Tahoma"/>
          <w:i/>
          <w:sz w:val="20"/>
        </w:rPr>
        <w:t>Nature</w:t>
      </w:r>
      <w:r w:rsidRPr="001B25E7">
        <w:rPr>
          <w:rFonts w:ascii="Tahoma" w:hAnsi="Tahoma"/>
          <w:sz w:val="20"/>
        </w:rPr>
        <w:t xml:space="preserve"> </w:t>
      </w:r>
      <w:r w:rsidRPr="001B25E7">
        <w:rPr>
          <w:rFonts w:ascii="Tahoma" w:hAnsi="Tahoma"/>
          <w:bCs/>
          <w:sz w:val="20"/>
        </w:rPr>
        <w:t>374:</w:t>
      </w:r>
      <w:r w:rsidRPr="001B25E7">
        <w:rPr>
          <w:rFonts w:ascii="Tahoma" w:hAnsi="Tahoma"/>
          <w:sz w:val="20"/>
        </w:rPr>
        <w:t>457-9.</w:t>
      </w:r>
    </w:p>
    <w:p w14:paraId="57FB4908" w14:textId="77777777" w:rsidR="00A02318" w:rsidRPr="001B25E7" w:rsidRDefault="00A02318" w:rsidP="00A02318">
      <w:pPr>
        <w:pStyle w:val="ListParagraph"/>
        <w:numPr>
          <w:ilvl w:val="0"/>
          <w:numId w:val="27"/>
        </w:numPr>
        <w:tabs>
          <w:tab w:val="left" w:pos="720"/>
        </w:tabs>
        <w:autoSpaceDE/>
        <w:autoSpaceDN/>
        <w:rPr>
          <w:rFonts w:ascii="Tahoma" w:hAnsi="Tahoma"/>
          <w:position w:val="-4"/>
          <w:sz w:val="20"/>
        </w:rPr>
      </w:pPr>
      <w:r w:rsidRPr="001B25E7">
        <w:rPr>
          <w:rFonts w:ascii="Tahoma" w:hAnsi="Tahoma"/>
          <w:position w:val="-4"/>
          <w:sz w:val="20"/>
        </w:rPr>
        <w:t xml:space="preserve">Tetsu O., </w:t>
      </w:r>
      <w:r w:rsidRPr="001B25E7">
        <w:rPr>
          <w:rFonts w:ascii="Tahoma" w:hAnsi="Tahoma"/>
          <w:b/>
          <w:position w:val="-4"/>
          <w:sz w:val="20"/>
        </w:rPr>
        <w:t>McCormick F.</w:t>
      </w:r>
      <w:r w:rsidRPr="001B25E7">
        <w:rPr>
          <w:rFonts w:ascii="Tahoma" w:hAnsi="Tahoma"/>
          <w:position w:val="-4"/>
          <w:sz w:val="20"/>
        </w:rPr>
        <w:t xml:space="preserve">  1999 </w:t>
      </w:r>
      <w:r w:rsidRPr="00A52749">
        <w:sym w:font="Symbol" w:char="F062"/>
      </w:r>
      <w:r w:rsidRPr="001B25E7">
        <w:rPr>
          <w:rFonts w:ascii="Tahoma" w:hAnsi="Tahoma"/>
          <w:position w:val="-4"/>
          <w:sz w:val="20"/>
        </w:rPr>
        <w:t xml:space="preserve">-catenin regulates cyclin D1 expression in colon carcinoma cells.  </w:t>
      </w:r>
      <w:r w:rsidRPr="001B25E7">
        <w:rPr>
          <w:rFonts w:ascii="Tahoma" w:hAnsi="Tahoma"/>
          <w:i/>
          <w:position w:val="-4"/>
          <w:sz w:val="20"/>
        </w:rPr>
        <w:t xml:space="preserve">Nature </w:t>
      </w:r>
      <w:r w:rsidRPr="001B25E7">
        <w:rPr>
          <w:rFonts w:ascii="Tahoma" w:hAnsi="Tahoma"/>
          <w:bCs/>
          <w:position w:val="-4"/>
          <w:sz w:val="20"/>
        </w:rPr>
        <w:t>398:</w:t>
      </w:r>
      <w:r w:rsidRPr="001B25E7">
        <w:rPr>
          <w:rFonts w:ascii="Tahoma" w:hAnsi="Tahoma"/>
          <w:position w:val="-4"/>
          <w:sz w:val="20"/>
        </w:rPr>
        <w:t>422-6.</w:t>
      </w:r>
    </w:p>
    <w:p w14:paraId="57FB4909" w14:textId="77777777" w:rsidR="00A02318" w:rsidRPr="00574780" w:rsidRDefault="00A02318" w:rsidP="00A02318">
      <w:pPr>
        <w:rPr>
          <w:b/>
          <w:sz w:val="10"/>
          <w:szCs w:val="10"/>
        </w:rPr>
      </w:pPr>
    </w:p>
    <w:p w14:paraId="57FB490A" w14:textId="77777777" w:rsidR="00A02318" w:rsidRPr="00326505" w:rsidRDefault="00A02318" w:rsidP="00A02318">
      <w:pPr>
        <w:rPr>
          <w:b/>
        </w:rPr>
      </w:pPr>
      <w:r w:rsidRPr="00326505">
        <w:rPr>
          <w:b/>
        </w:rPr>
        <w:t>Targeted therapies</w:t>
      </w:r>
    </w:p>
    <w:p w14:paraId="57FB490B" w14:textId="77777777" w:rsidR="00A02318" w:rsidRPr="00A02318" w:rsidRDefault="00A02318" w:rsidP="00A02318">
      <w:pPr>
        <w:pStyle w:val="NoSpacing"/>
        <w:rPr>
          <w:rFonts w:ascii="Tahoma" w:hAnsi="Tahoma"/>
          <w:bCs/>
          <w:position w:val="-4"/>
          <w:sz w:val="20"/>
        </w:rPr>
      </w:pPr>
      <w:r>
        <w:t xml:space="preserve">At Onyx, a company that I co-founded in 1992 to develop therapies based on genetic alterations that cause cancer, I initiated a screening campaign to find inhibitors of Raf kinase. This took advantage of our ability to produce significant quantities of active recombinant proteins in insect cells, and the first use of novel epitope tags to purify these proteins (Macdonald et al 1994). This led to development of the first Raf kinase inhibitor to enter the clinic.  Sorafenib and fluoro-sorafenib, </w:t>
      </w:r>
      <w:r w:rsidRPr="00DC7DDA">
        <w:t xml:space="preserve">are FDA approved for treating renal cancer, hepatocellular cancer, thyroid and colorectal cancers.  </w:t>
      </w:r>
      <w:r>
        <w:t>Sorafenib is still the only drug approved for treating hepatocellular cancer. My group at Onyx developed the first Cdk4 inhibitor, in collaboration with Parke-Davis. This compound, now known as palbociclib</w:t>
      </w:r>
      <w:r w:rsidRPr="00702076">
        <w:t>, recently received FDA Breakthrough Therapy designation for treatment of breast cancer</w:t>
      </w:r>
      <w:r>
        <w:t>. At UCSF, we showed that CDK2 is not a suitable target for therapeutic inhibition by demonstrating that cancer cells can proliferate despite CDK2 inhibition. This result contradicted the dogma at that time, but was later confirmed by Dr Barbacid who showed that mice survive after CDK2 deletion.</w:t>
      </w:r>
    </w:p>
    <w:p w14:paraId="57FB490C" w14:textId="77777777" w:rsidR="00A02318" w:rsidRPr="00574780" w:rsidRDefault="00A02318" w:rsidP="00A02318">
      <w:pPr>
        <w:rPr>
          <w:sz w:val="10"/>
          <w:szCs w:val="10"/>
        </w:rPr>
      </w:pPr>
    </w:p>
    <w:p w14:paraId="57FB490D" w14:textId="77777777" w:rsidR="00A02318" w:rsidRDefault="00A02318" w:rsidP="00574780">
      <w:pPr>
        <w:pStyle w:val="NoSpacing"/>
        <w:numPr>
          <w:ilvl w:val="0"/>
          <w:numId w:val="28"/>
        </w:numPr>
      </w:pPr>
      <w:r w:rsidRPr="00A52749">
        <w:t xml:space="preserve">Macdonald, S. G., Crews, C. M., Wu, L., Driller, J., Clark, R., Erikson, R. L., and </w:t>
      </w:r>
      <w:r w:rsidRPr="00A52749">
        <w:rPr>
          <w:b/>
        </w:rPr>
        <w:t>McCormick, F.,</w:t>
      </w:r>
      <w:r>
        <w:t xml:space="preserve"> 1993.  </w:t>
      </w:r>
      <w:r w:rsidRPr="00A52749">
        <w:t>Reconstitution of the Raf-1-MEK-ERK signal transduction p</w:t>
      </w:r>
      <w:r>
        <w:t>athway in vitro.</w:t>
      </w:r>
      <w:r w:rsidRPr="00A52749">
        <w:t xml:space="preserve"> </w:t>
      </w:r>
      <w:r w:rsidRPr="00A52749">
        <w:rPr>
          <w:i/>
        </w:rPr>
        <w:t>Mol Cell Biol</w:t>
      </w:r>
      <w:r w:rsidRPr="00A52749">
        <w:t xml:space="preserve"> </w:t>
      </w:r>
      <w:r w:rsidRPr="00A52749">
        <w:rPr>
          <w:bCs/>
        </w:rPr>
        <w:t>13:</w:t>
      </w:r>
      <w:r w:rsidRPr="00A52749">
        <w:t>6615-20.</w:t>
      </w:r>
    </w:p>
    <w:p w14:paraId="57FB490E" w14:textId="77777777" w:rsidR="00A02318" w:rsidRPr="00A325F0" w:rsidRDefault="00A02318" w:rsidP="00A02318">
      <w:pPr>
        <w:pStyle w:val="ListParagraph"/>
        <w:numPr>
          <w:ilvl w:val="0"/>
          <w:numId w:val="28"/>
        </w:numPr>
        <w:rPr>
          <w:rFonts w:ascii="Tahoma" w:hAnsi="Tahoma"/>
          <w:bCs/>
          <w:position w:val="-4"/>
          <w:sz w:val="20"/>
        </w:rPr>
      </w:pPr>
      <w:r w:rsidRPr="00A325F0">
        <w:rPr>
          <w:rFonts w:ascii="Tahoma" w:hAnsi="Tahoma"/>
          <w:bCs/>
          <w:position w:val="-4"/>
          <w:sz w:val="20"/>
        </w:rPr>
        <w:t xml:space="preserve">Tetsu, O., </w:t>
      </w:r>
      <w:r w:rsidRPr="00A325F0">
        <w:rPr>
          <w:rFonts w:ascii="Tahoma" w:hAnsi="Tahoma"/>
          <w:b/>
          <w:position w:val="-4"/>
          <w:sz w:val="20"/>
        </w:rPr>
        <w:t xml:space="preserve">McCormick, F. </w:t>
      </w:r>
      <w:r w:rsidRPr="00A325F0">
        <w:rPr>
          <w:rFonts w:ascii="Tahoma" w:hAnsi="Tahoma"/>
          <w:bCs/>
          <w:position w:val="-4"/>
          <w:sz w:val="20"/>
        </w:rPr>
        <w:t xml:space="preserve"> 2003.  Proliferation of cancer cells despite CDK2 inhibition.  </w:t>
      </w:r>
      <w:r w:rsidRPr="00A325F0">
        <w:rPr>
          <w:rFonts w:ascii="Tahoma" w:hAnsi="Tahoma"/>
          <w:bCs/>
          <w:i/>
          <w:iCs/>
          <w:position w:val="-4"/>
          <w:sz w:val="20"/>
        </w:rPr>
        <w:t>Cancer Cell</w:t>
      </w:r>
      <w:r w:rsidRPr="00A325F0">
        <w:rPr>
          <w:rFonts w:ascii="Tahoma" w:hAnsi="Tahoma"/>
          <w:bCs/>
          <w:position w:val="-4"/>
          <w:sz w:val="20"/>
        </w:rPr>
        <w:t xml:space="preserve"> 3:233-246.</w:t>
      </w:r>
    </w:p>
    <w:p w14:paraId="57FB490F" w14:textId="77777777" w:rsidR="00A02318" w:rsidRPr="00574780" w:rsidRDefault="00A02318" w:rsidP="00A02318">
      <w:pPr>
        <w:rPr>
          <w:sz w:val="10"/>
          <w:szCs w:val="10"/>
        </w:rPr>
      </w:pPr>
      <w:r>
        <w:tab/>
      </w:r>
    </w:p>
    <w:p w14:paraId="57FB4910" w14:textId="77777777" w:rsidR="00A02318" w:rsidRDefault="00A02318" w:rsidP="00A02318">
      <w:pPr>
        <w:rPr>
          <w:b/>
        </w:rPr>
      </w:pPr>
      <w:r w:rsidRPr="00E70116">
        <w:rPr>
          <w:b/>
        </w:rPr>
        <w:t xml:space="preserve">Technical </w:t>
      </w:r>
      <w:r>
        <w:rPr>
          <w:b/>
        </w:rPr>
        <w:t>innovations</w:t>
      </w:r>
    </w:p>
    <w:p w14:paraId="57FB4911" w14:textId="77777777" w:rsidR="00A02318" w:rsidRDefault="00A02318" w:rsidP="00A02318">
      <w:r w:rsidRPr="00497D45">
        <w:t xml:space="preserve">My group at Cetus </w:t>
      </w:r>
      <w:r>
        <w:t>collaborated with Dr Gordon Ringold at Stanford, to use dhfr-amplification to produce high levels of beta-interferon in CHO cells. This was the first demonstration that a human protein could be stably over-expressed using this technique and was the basis of extensive use of dhfr-co-amplification technique to produce human recombinant proteins in mammalian cells in the biotech industry (</w:t>
      </w:r>
      <w:r w:rsidRPr="00497D45">
        <w:t xml:space="preserve">U.S. Patent No. </w:t>
      </w:r>
      <w:r w:rsidRPr="00497D45">
        <w:rPr>
          <w:b/>
        </w:rPr>
        <w:t>4,966,843</w:t>
      </w:r>
      <w:r>
        <w:t>).  We were</w:t>
      </w:r>
      <w:r w:rsidRPr="00497D45">
        <w:t xml:space="preserve"> among the first to use PCR to detect Ras mutations in human tumor DNA. In collaboration with Dr Chris Marshall, we amplified Ras genes from AML samples and detected mutations by probing amplified DNA (Farr et al, 1988).  My group also published the first use of PCR to detect mRNA</w:t>
      </w:r>
      <w:r>
        <w:t xml:space="preserve"> (</w:t>
      </w:r>
      <w:r w:rsidRPr="00497D45">
        <w:t xml:space="preserve">U.S. Patent No. </w:t>
      </w:r>
      <w:r w:rsidRPr="00497D45">
        <w:rPr>
          <w:b/>
        </w:rPr>
        <w:t>5,057,410</w:t>
      </w:r>
      <w:r>
        <w:rPr>
          <w:b/>
        </w:rPr>
        <w:t>)</w:t>
      </w:r>
      <w:r w:rsidRPr="00497D45">
        <w:t xml:space="preserve">: in collaboration with Dr Owen Witte at UCLA, we used reverse transcriptase to produce cDNA from mRNA derived from CML samples, and used PCR to detect breakpoints (Kawasaki et al 1988). </w:t>
      </w:r>
    </w:p>
    <w:p w14:paraId="57FB4912" w14:textId="77777777" w:rsidR="00A02318" w:rsidRPr="00574780" w:rsidRDefault="00A02318" w:rsidP="00A02318">
      <w:pPr>
        <w:rPr>
          <w:sz w:val="10"/>
          <w:szCs w:val="10"/>
        </w:rPr>
      </w:pPr>
    </w:p>
    <w:p w14:paraId="57FB4913" w14:textId="77777777" w:rsidR="00A02318" w:rsidRPr="00326505" w:rsidRDefault="00A02318" w:rsidP="00A02318">
      <w:pPr>
        <w:pStyle w:val="ListParagraph"/>
        <w:numPr>
          <w:ilvl w:val="0"/>
          <w:numId w:val="25"/>
        </w:numPr>
        <w:spacing w:after="120"/>
        <w:rPr>
          <w:rFonts w:ascii="Tahoma" w:hAnsi="Tahoma"/>
          <w:sz w:val="20"/>
        </w:rPr>
      </w:pPr>
      <w:r w:rsidRPr="00326505">
        <w:rPr>
          <w:rFonts w:ascii="Tahoma" w:hAnsi="Tahoma"/>
          <w:b/>
          <w:sz w:val="20"/>
        </w:rPr>
        <w:t>McCormick, F.,</w:t>
      </w:r>
      <w:r w:rsidRPr="00326505">
        <w:rPr>
          <w:rFonts w:ascii="Tahoma" w:hAnsi="Tahoma"/>
          <w:sz w:val="20"/>
        </w:rPr>
        <w:t xml:space="preserve"> Trahey, M., Innis, M., Dieckmann, B., and Ringold, G. 1984. Inducible expression of amplified human beta interferon genes in CHO cells. </w:t>
      </w:r>
      <w:r w:rsidRPr="00326505">
        <w:rPr>
          <w:rFonts w:ascii="Tahoma" w:hAnsi="Tahoma"/>
          <w:i/>
          <w:sz w:val="20"/>
        </w:rPr>
        <w:t>Mol Cell Biol</w:t>
      </w:r>
      <w:r w:rsidRPr="00326505">
        <w:rPr>
          <w:rFonts w:ascii="Tahoma" w:hAnsi="Tahoma"/>
          <w:sz w:val="20"/>
        </w:rPr>
        <w:t xml:space="preserve"> </w:t>
      </w:r>
      <w:r w:rsidRPr="00326505">
        <w:rPr>
          <w:rFonts w:ascii="Tahoma" w:hAnsi="Tahoma"/>
          <w:bCs/>
          <w:sz w:val="20"/>
        </w:rPr>
        <w:t>4:</w:t>
      </w:r>
      <w:r w:rsidRPr="00326505">
        <w:rPr>
          <w:rFonts w:ascii="Tahoma" w:hAnsi="Tahoma"/>
          <w:sz w:val="20"/>
        </w:rPr>
        <w:t>166-72.</w:t>
      </w:r>
    </w:p>
    <w:p w14:paraId="57FB4914" w14:textId="77777777" w:rsidR="00A02318" w:rsidRDefault="00A02318" w:rsidP="00A02318">
      <w:pPr>
        <w:pStyle w:val="ListParagraph"/>
        <w:numPr>
          <w:ilvl w:val="0"/>
          <w:numId w:val="25"/>
        </w:numPr>
      </w:pPr>
      <w:r w:rsidRPr="00326505">
        <w:rPr>
          <w:rFonts w:ascii="Tahoma" w:hAnsi="Tahoma"/>
          <w:sz w:val="20"/>
        </w:rPr>
        <w:t xml:space="preserve">Farr, C. J., Saiki, R. K., Erlich, H. A., </w:t>
      </w:r>
      <w:r w:rsidRPr="00326505">
        <w:rPr>
          <w:rFonts w:ascii="Tahoma" w:hAnsi="Tahoma"/>
          <w:b/>
          <w:sz w:val="20"/>
        </w:rPr>
        <w:t>McCormick, F.,</w:t>
      </w:r>
      <w:r w:rsidRPr="00326505">
        <w:rPr>
          <w:rFonts w:ascii="Tahoma" w:hAnsi="Tahoma"/>
          <w:sz w:val="20"/>
        </w:rPr>
        <w:t xml:space="preserve"> and Marshall, C. J. 1988. Analysis of RAS gene mutations in acute myeloid leukemia by polymerase chain reaction and oligonucleotide probes. </w:t>
      </w:r>
      <w:r w:rsidRPr="00326505">
        <w:rPr>
          <w:rFonts w:ascii="Tahoma" w:hAnsi="Tahoma"/>
          <w:i/>
          <w:sz w:val="20"/>
        </w:rPr>
        <w:t>Proc Natl Acad Sci U S A</w:t>
      </w:r>
      <w:r w:rsidRPr="00326505">
        <w:rPr>
          <w:rFonts w:ascii="Tahoma" w:hAnsi="Tahoma"/>
          <w:sz w:val="20"/>
        </w:rPr>
        <w:t xml:space="preserve"> </w:t>
      </w:r>
      <w:r w:rsidRPr="00326505">
        <w:rPr>
          <w:rFonts w:ascii="Tahoma" w:hAnsi="Tahoma"/>
          <w:bCs/>
          <w:sz w:val="20"/>
        </w:rPr>
        <w:t>85:</w:t>
      </w:r>
      <w:r w:rsidRPr="00326505">
        <w:rPr>
          <w:rFonts w:ascii="Tahoma" w:hAnsi="Tahoma"/>
          <w:sz w:val="20"/>
        </w:rPr>
        <w:t>1629-33.</w:t>
      </w:r>
      <w:r>
        <w:tab/>
      </w:r>
    </w:p>
    <w:p w14:paraId="57FB4915" w14:textId="77777777" w:rsidR="00A02318" w:rsidRDefault="00A02318" w:rsidP="00A02318">
      <w:pPr>
        <w:pStyle w:val="ListParagraph"/>
        <w:numPr>
          <w:ilvl w:val="0"/>
          <w:numId w:val="25"/>
        </w:numPr>
      </w:pPr>
      <w:r w:rsidRPr="00326505">
        <w:rPr>
          <w:rFonts w:ascii="Tahoma" w:hAnsi="Tahoma"/>
          <w:sz w:val="20"/>
        </w:rPr>
        <w:t xml:space="preserve">Kawasaki, E. S., Clark, S. S., Coyne, M. Y., Smith, S. D., Champlin, R., Witte, O. N., and </w:t>
      </w:r>
      <w:r w:rsidRPr="00326505">
        <w:rPr>
          <w:rFonts w:ascii="Tahoma" w:hAnsi="Tahoma"/>
          <w:b/>
          <w:sz w:val="20"/>
        </w:rPr>
        <w:t>McCormick, F.,</w:t>
      </w:r>
      <w:r w:rsidRPr="00326505">
        <w:rPr>
          <w:rFonts w:ascii="Tahoma" w:hAnsi="Tahoma"/>
          <w:sz w:val="20"/>
        </w:rPr>
        <w:t xml:space="preserve"> 1988. Diagnosis of chronic myeloid and acute lymphocytic leukemias by detection of leukemia-specific mRNA sequences amplified in vitro. </w:t>
      </w:r>
      <w:r w:rsidRPr="00326505">
        <w:rPr>
          <w:rFonts w:ascii="Tahoma" w:hAnsi="Tahoma"/>
          <w:i/>
          <w:sz w:val="20"/>
        </w:rPr>
        <w:t>Proc Natl Acad Sci U S A</w:t>
      </w:r>
      <w:r w:rsidRPr="00326505">
        <w:rPr>
          <w:rFonts w:ascii="Tahoma" w:hAnsi="Tahoma"/>
          <w:sz w:val="20"/>
        </w:rPr>
        <w:t xml:space="preserve"> </w:t>
      </w:r>
      <w:r w:rsidRPr="00326505">
        <w:rPr>
          <w:rFonts w:ascii="Tahoma" w:hAnsi="Tahoma"/>
          <w:bCs/>
          <w:sz w:val="20"/>
        </w:rPr>
        <w:t>85:</w:t>
      </w:r>
      <w:r w:rsidRPr="00326505">
        <w:rPr>
          <w:rFonts w:ascii="Tahoma" w:hAnsi="Tahoma"/>
          <w:sz w:val="20"/>
        </w:rPr>
        <w:t>5698-702.</w:t>
      </w:r>
    </w:p>
    <w:p w14:paraId="57FB4916" w14:textId="77777777" w:rsidR="00A02318" w:rsidRPr="00574780" w:rsidRDefault="00A02318" w:rsidP="00A02318">
      <w:pPr>
        <w:rPr>
          <w:sz w:val="10"/>
          <w:szCs w:val="10"/>
        </w:rPr>
      </w:pPr>
    </w:p>
    <w:p w14:paraId="57FB4917" w14:textId="77777777" w:rsidR="00822EBA" w:rsidRPr="00780AAA" w:rsidRDefault="00822EBA" w:rsidP="00822EBA">
      <w:pPr>
        <w:pStyle w:val="DataField11pt-Single"/>
        <w:rPr>
          <w:szCs w:val="22"/>
          <w:u w:val="single"/>
        </w:rPr>
      </w:pPr>
      <w:r w:rsidRPr="00780AAA">
        <w:rPr>
          <w:u w:val="single"/>
        </w:rPr>
        <w:t>Complete list of Published Work in MyBibliography:</w:t>
      </w:r>
    </w:p>
    <w:p w14:paraId="57FB4918" w14:textId="77777777" w:rsidR="00600A0B" w:rsidRPr="00CA1EC6" w:rsidRDefault="00694855" w:rsidP="000C023F">
      <w:pPr>
        <w:pStyle w:val="Heading2"/>
        <w:rPr>
          <w:rFonts w:cs="Arial"/>
          <w:b w:val="0"/>
          <w:szCs w:val="20"/>
        </w:rPr>
      </w:pPr>
      <w:hyperlink r:id="rId10" w:history="1">
        <w:r w:rsidR="00600A0B" w:rsidRPr="00CA1EC6">
          <w:rPr>
            <w:rStyle w:val="Hyperlink"/>
            <w:rFonts w:cs="Arial"/>
            <w:b w:val="0"/>
            <w:color w:val="auto"/>
            <w:szCs w:val="20"/>
          </w:rPr>
          <w:t>http://www.ncbi.nlm.nih.gov/sites/myncbi/1Xo9rXnyQzLAq/bibliography/46879329/public/?sort=date&amp;direction=ascending</w:t>
        </w:r>
      </w:hyperlink>
    </w:p>
    <w:p w14:paraId="57FB494C" w14:textId="77777777" w:rsidR="00780AAA" w:rsidRPr="005C2CF8" w:rsidRDefault="00780AAA" w:rsidP="00BC4E38">
      <w:pPr>
        <w:tabs>
          <w:tab w:val="left" w:pos="7200"/>
          <w:tab w:val="right" w:pos="10800"/>
        </w:tabs>
        <w:autoSpaceDE/>
        <w:autoSpaceDN/>
        <w:jc w:val="both"/>
        <w:rPr>
          <w:rStyle w:val="Strong"/>
        </w:rPr>
      </w:pPr>
    </w:p>
    <w:sectPr w:rsidR="00780AAA" w:rsidRPr="005C2CF8"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B494F" w14:textId="77777777" w:rsidR="00D2797B" w:rsidRDefault="00D2797B">
      <w:r>
        <w:separator/>
      </w:r>
    </w:p>
  </w:endnote>
  <w:endnote w:type="continuationSeparator" w:id="0">
    <w:p w14:paraId="57FB4950" w14:textId="77777777" w:rsidR="00D2797B" w:rsidRDefault="00D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B494D" w14:textId="77777777" w:rsidR="00D2797B" w:rsidRDefault="00D2797B">
      <w:r>
        <w:separator/>
      </w:r>
    </w:p>
  </w:footnote>
  <w:footnote w:type="continuationSeparator" w:id="0">
    <w:p w14:paraId="57FB494E" w14:textId="77777777" w:rsidR="00D2797B" w:rsidRDefault="00D2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D1193"/>
    <w:multiLevelType w:val="hybridMultilevel"/>
    <w:tmpl w:val="C5784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4D64B6"/>
    <w:multiLevelType w:val="hybridMultilevel"/>
    <w:tmpl w:val="CA20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A00349"/>
    <w:multiLevelType w:val="hybridMultilevel"/>
    <w:tmpl w:val="1302B8BA"/>
    <w:lvl w:ilvl="0" w:tplc="3C9820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0F260A"/>
    <w:multiLevelType w:val="hybridMultilevel"/>
    <w:tmpl w:val="1512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A73C4F"/>
    <w:multiLevelType w:val="singleLevel"/>
    <w:tmpl w:val="CA5E1EFC"/>
    <w:lvl w:ilvl="0">
      <w:start w:val="172"/>
      <w:numFmt w:val="decimal"/>
      <w:lvlText w:val="%1."/>
      <w:legacy w:legacy="1" w:legacySpace="0" w:legacyIndent="720"/>
      <w:lvlJc w:val="left"/>
      <w:pPr>
        <w:ind w:left="720" w:hanging="720"/>
      </w:pPr>
      <w:rPr>
        <w:rFonts w:cs="Times New Roman"/>
      </w:r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4DB26E47"/>
    <w:multiLevelType w:val="hybridMultilevel"/>
    <w:tmpl w:val="BCE8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B74C1"/>
    <w:multiLevelType w:val="hybridMultilevel"/>
    <w:tmpl w:val="AC0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71135"/>
    <w:multiLevelType w:val="hybridMultilevel"/>
    <w:tmpl w:val="9480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0"/>
  </w:num>
  <w:num w:numId="13">
    <w:abstractNumId w:val="12"/>
  </w:num>
  <w:num w:numId="14">
    <w:abstractNumId w:val="26"/>
  </w:num>
  <w:num w:numId="15">
    <w:abstractNumId w:val="23"/>
  </w:num>
  <w:num w:numId="16">
    <w:abstractNumId w:val="25"/>
  </w:num>
  <w:num w:numId="17">
    <w:abstractNumId w:val="10"/>
  </w:num>
  <w:num w:numId="18">
    <w:abstractNumId w:val="15"/>
  </w:num>
  <w:num w:numId="19">
    <w:abstractNumId w:val="13"/>
  </w:num>
  <w:num w:numId="20">
    <w:abstractNumId w:val="18"/>
  </w:num>
  <w:num w:numId="21">
    <w:abstractNumId w:val="16"/>
  </w:num>
  <w:num w:numId="22">
    <w:abstractNumId w:val="11"/>
  </w:num>
  <w:num w:numId="23">
    <w:abstractNumId w:val="24"/>
  </w:num>
  <w:num w:numId="24">
    <w:abstractNumId w:val="19"/>
  </w:num>
  <w:num w:numId="25">
    <w:abstractNumId w:val="22"/>
  </w:num>
  <w:num w:numId="26">
    <w:abstractNumId w:val="14"/>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26F92"/>
    <w:rsid w:val="00067621"/>
    <w:rsid w:val="00084E39"/>
    <w:rsid w:val="000C023F"/>
    <w:rsid w:val="00122EB3"/>
    <w:rsid w:val="00125972"/>
    <w:rsid w:val="00132CA6"/>
    <w:rsid w:val="0013429A"/>
    <w:rsid w:val="0014571A"/>
    <w:rsid w:val="00170D87"/>
    <w:rsid w:val="00177D49"/>
    <w:rsid w:val="001C065C"/>
    <w:rsid w:val="002506F6"/>
    <w:rsid w:val="0028051C"/>
    <w:rsid w:val="002B1F8E"/>
    <w:rsid w:val="002D7520"/>
    <w:rsid w:val="002E5125"/>
    <w:rsid w:val="00321A19"/>
    <w:rsid w:val="0035045F"/>
    <w:rsid w:val="0037667F"/>
    <w:rsid w:val="00382AB6"/>
    <w:rsid w:val="00383712"/>
    <w:rsid w:val="00384E49"/>
    <w:rsid w:val="003C2647"/>
    <w:rsid w:val="003C62D6"/>
    <w:rsid w:val="003D2399"/>
    <w:rsid w:val="003F6A45"/>
    <w:rsid w:val="00432346"/>
    <w:rsid w:val="00447F3A"/>
    <w:rsid w:val="004759D9"/>
    <w:rsid w:val="0049068A"/>
    <w:rsid w:val="00496B31"/>
    <w:rsid w:val="004A3FC8"/>
    <w:rsid w:val="004F64A7"/>
    <w:rsid w:val="00503B57"/>
    <w:rsid w:val="00504DE6"/>
    <w:rsid w:val="00506E97"/>
    <w:rsid w:val="005145BB"/>
    <w:rsid w:val="005173B5"/>
    <w:rsid w:val="00517BFD"/>
    <w:rsid w:val="0054471F"/>
    <w:rsid w:val="00547AC9"/>
    <w:rsid w:val="00574780"/>
    <w:rsid w:val="00592740"/>
    <w:rsid w:val="005C2BDD"/>
    <w:rsid w:val="005C2CF8"/>
    <w:rsid w:val="005C47A8"/>
    <w:rsid w:val="005E406E"/>
    <w:rsid w:val="005E5B25"/>
    <w:rsid w:val="005E733D"/>
    <w:rsid w:val="005F5F51"/>
    <w:rsid w:val="00600A0B"/>
    <w:rsid w:val="00601C69"/>
    <w:rsid w:val="00616BCC"/>
    <w:rsid w:val="00624261"/>
    <w:rsid w:val="00646AF9"/>
    <w:rsid w:val="00656AB8"/>
    <w:rsid w:val="006609B6"/>
    <w:rsid w:val="0068699D"/>
    <w:rsid w:val="00694855"/>
    <w:rsid w:val="006A353C"/>
    <w:rsid w:val="006A56FC"/>
    <w:rsid w:val="006B2D1C"/>
    <w:rsid w:val="006C1E1F"/>
    <w:rsid w:val="006F5316"/>
    <w:rsid w:val="006F734D"/>
    <w:rsid w:val="007050F5"/>
    <w:rsid w:val="0071140F"/>
    <w:rsid w:val="007120DE"/>
    <w:rsid w:val="007154E8"/>
    <w:rsid w:val="00722C8F"/>
    <w:rsid w:val="0075240B"/>
    <w:rsid w:val="00780AAA"/>
    <w:rsid w:val="00781234"/>
    <w:rsid w:val="007B7AF3"/>
    <w:rsid w:val="00807379"/>
    <w:rsid w:val="008073EB"/>
    <w:rsid w:val="00822EBA"/>
    <w:rsid w:val="00843027"/>
    <w:rsid w:val="00874EBC"/>
    <w:rsid w:val="009211D3"/>
    <w:rsid w:val="00934124"/>
    <w:rsid w:val="00952A27"/>
    <w:rsid w:val="00971DDF"/>
    <w:rsid w:val="009B2D50"/>
    <w:rsid w:val="009D10D2"/>
    <w:rsid w:val="009D7E97"/>
    <w:rsid w:val="009E2905"/>
    <w:rsid w:val="009E52CA"/>
    <w:rsid w:val="009F72E5"/>
    <w:rsid w:val="00A02318"/>
    <w:rsid w:val="00A04942"/>
    <w:rsid w:val="00A04B52"/>
    <w:rsid w:val="00A1469B"/>
    <w:rsid w:val="00A14EF5"/>
    <w:rsid w:val="00A26D0F"/>
    <w:rsid w:val="00A42D9B"/>
    <w:rsid w:val="00A7514C"/>
    <w:rsid w:val="00A8122C"/>
    <w:rsid w:val="00A83312"/>
    <w:rsid w:val="00A873BC"/>
    <w:rsid w:val="00AE41C4"/>
    <w:rsid w:val="00B62CA9"/>
    <w:rsid w:val="00BC4E38"/>
    <w:rsid w:val="00BD530D"/>
    <w:rsid w:val="00C05C55"/>
    <w:rsid w:val="00C06EE4"/>
    <w:rsid w:val="00C076C6"/>
    <w:rsid w:val="00C137DA"/>
    <w:rsid w:val="00C3113F"/>
    <w:rsid w:val="00C4536F"/>
    <w:rsid w:val="00C46ADA"/>
    <w:rsid w:val="00C83DA5"/>
    <w:rsid w:val="00C85025"/>
    <w:rsid w:val="00C918BD"/>
    <w:rsid w:val="00CA1EC6"/>
    <w:rsid w:val="00CA680A"/>
    <w:rsid w:val="00CE0951"/>
    <w:rsid w:val="00CF68A2"/>
    <w:rsid w:val="00D2797B"/>
    <w:rsid w:val="00D679E5"/>
    <w:rsid w:val="00D72E3D"/>
    <w:rsid w:val="00D74391"/>
    <w:rsid w:val="00D83360"/>
    <w:rsid w:val="00D92E40"/>
    <w:rsid w:val="00DB7B85"/>
    <w:rsid w:val="00DD31B4"/>
    <w:rsid w:val="00DF7645"/>
    <w:rsid w:val="00E0578E"/>
    <w:rsid w:val="00E127A1"/>
    <w:rsid w:val="00E355C2"/>
    <w:rsid w:val="00E53B95"/>
    <w:rsid w:val="00E67A05"/>
    <w:rsid w:val="00E74AB7"/>
    <w:rsid w:val="00E81FE1"/>
    <w:rsid w:val="00E90203"/>
    <w:rsid w:val="00EA0405"/>
    <w:rsid w:val="00EF4C32"/>
    <w:rsid w:val="00EF69CD"/>
    <w:rsid w:val="00F0068D"/>
    <w:rsid w:val="00F02126"/>
    <w:rsid w:val="00F07AB3"/>
    <w:rsid w:val="00F262AB"/>
    <w:rsid w:val="00F7284D"/>
    <w:rsid w:val="00FA00C6"/>
    <w:rsid w:val="00FA12F9"/>
    <w:rsid w:val="00FD0FF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7FB48A7"/>
  <w15:docId w15:val="{105E6218-9A02-4A0A-A0BC-352164E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504DE6"/>
    <w:pP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4DE6"/>
    <w:pPr>
      <w:numPr>
        <w:numId w:val="1"/>
      </w:numPr>
    </w:pPr>
    <w:rPr>
      <w:rFonts w:ascii="Times" w:hAnsi="Times" w:cs="Times"/>
    </w:rPr>
  </w:style>
  <w:style w:type="paragraph" w:styleId="ListBullet2">
    <w:name w:val="List Bullet 2"/>
    <w:basedOn w:val="Normal"/>
    <w:autoRedefine/>
    <w:rsid w:val="00504DE6"/>
    <w:pPr>
      <w:numPr>
        <w:numId w:val="2"/>
      </w:numPr>
    </w:pPr>
    <w:rPr>
      <w:rFonts w:ascii="Times" w:hAnsi="Times" w:cs="Times"/>
    </w:rPr>
  </w:style>
  <w:style w:type="paragraph" w:styleId="ListBullet3">
    <w:name w:val="List Bullet 3"/>
    <w:basedOn w:val="Normal"/>
    <w:autoRedefine/>
    <w:rsid w:val="00504DE6"/>
    <w:pPr>
      <w:numPr>
        <w:numId w:val="3"/>
      </w:numPr>
    </w:pPr>
    <w:rPr>
      <w:rFonts w:ascii="Times" w:hAnsi="Times" w:cs="Times"/>
    </w:rPr>
  </w:style>
  <w:style w:type="paragraph" w:styleId="ListBullet4">
    <w:name w:val="List Bullet 4"/>
    <w:basedOn w:val="Normal"/>
    <w:autoRedefine/>
    <w:rsid w:val="00504DE6"/>
    <w:pPr>
      <w:numPr>
        <w:numId w:val="4"/>
      </w:numPr>
    </w:pPr>
    <w:rPr>
      <w:rFonts w:ascii="Times" w:hAnsi="Times" w:cs="Times"/>
    </w:rPr>
  </w:style>
  <w:style w:type="paragraph" w:styleId="ListBullet5">
    <w:name w:val="List Bullet 5"/>
    <w:basedOn w:val="Normal"/>
    <w:autoRedefine/>
    <w:rsid w:val="00504DE6"/>
    <w:pPr>
      <w:numPr>
        <w:numId w:val="5"/>
      </w:numPr>
    </w:pPr>
    <w:rPr>
      <w:rFonts w:ascii="Times" w:hAnsi="Times" w:cs="Times"/>
    </w:rPr>
  </w:style>
  <w:style w:type="paragraph" w:styleId="ListNumber">
    <w:name w:val="List Number"/>
    <w:basedOn w:val="Normal"/>
    <w:rsid w:val="00504DE6"/>
    <w:pPr>
      <w:numPr>
        <w:numId w:val="6"/>
      </w:numPr>
    </w:pPr>
    <w:rPr>
      <w:rFonts w:ascii="Times" w:hAnsi="Times" w:cs="Times"/>
    </w:rPr>
  </w:style>
  <w:style w:type="paragraph" w:styleId="ListNumber2">
    <w:name w:val="List Number 2"/>
    <w:basedOn w:val="Normal"/>
    <w:rsid w:val="00504DE6"/>
    <w:pPr>
      <w:numPr>
        <w:numId w:val="7"/>
      </w:numPr>
    </w:pPr>
    <w:rPr>
      <w:rFonts w:ascii="Times" w:hAnsi="Times" w:cs="Times"/>
    </w:rPr>
  </w:style>
  <w:style w:type="paragraph" w:styleId="ListNumber3">
    <w:name w:val="List Number 3"/>
    <w:basedOn w:val="Normal"/>
    <w:rsid w:val="00504DE6"/>
    <w:pPr>
      <w:numPr>
        <w:numId w:val="8"/>
      </w:numPr>
    </w:pPr>
    <w:rPr>
      <w:rFonts w:ascii="Times" w:hAnsi="Times" w:cs="Times"/>
    </w:rPr>
  </w:style>
  <w:style w:type="paragraph" w:styleId="ListNumber4">
    <w:name w:val="List Number 4"/>
    <w:basedOn w:val="Normal"/>
    <w:rsid w:val="00504DE6"/>
    <w:pPr>
      <w:numPr>
        <w:numId w:val="9"/>
      </w:numPr>
    </w:pPr>
    <w:rPr>
      <w:rFonts w:ascii="Times" w:hAnsi="Times" w:cs="Times"/>
    </w:rPr>
  </w:style>
  <w:style w:type="paragraph" w:styleId="ListNumber5">
    <w:name w:val="List Number 5"/>
    <w:basedOn w:val="Normal"/>
    <w:rsid w:val="00504DE6"/>
    <w:pPr>
      <w:numPr>
        <w:numId w:val="10"/>
      </w:numPr>
    </w:pPr>
    <w:rPr>
      <w:rFonts w:ascii="Times" w:hAnsi="Times" w:cs="Times"/>
    </w:rPr>
  </w:style>
  <w:style w:type="paragraph" w:styleId="BodyTextIndent">
    <w:name w:val="Body Text Indent"/>
    <w:basedOn w:val="Normal"/>
    <w:link w:val="BodyTextIndentChar"/>
    <w:rsid w:val="00504DE6"/>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rsid w:val="00504DE6"/>
    <w:pPr>
      <w:autoSpaceDE/>
      <w:autoSpaceDN/>
      <w:spacing w:before="100" w:beforeAutospacing="1" w:after="100" w:afterAutospacing="1"/>
    </w:pPr>
    <w:rPr>
      <w:rFonts w:eastAsia="Arial Unicode MS"/>
    </w:rPr>
  </w:style>
  <w:style w:type="paragraph" w:styleId="Header">
    <w:name w:val="header"/>
    <w:basedOn w:val="Normal"/>
    <w:rsid w:val="00504DE6"/>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sid w:val="00504DE6"/>
    <w:rPr>
      <w:rFonts w:ascii="Arial" w:hAnsi="Arial"/>
      <w:sz w:val="20"/>
      <w:u w:val="single"/>
    </w:rPr>
  </w:style>
  <w:style w:type="paragraph" w:customStyle="1" w:styleId="HeadingNote">
    <w:name w:val="Heading Note"/>
    <w:basedOn w:val="Normal"/>
    <w:rsid w:val="00F7284D"/>
    <w:pPr>
      <w:spacing w:before="40" w:after="40"/>
      <w:jc w:val="center"/>
    </w:pPr>
    <w:rPr>
      <w:rFonts w:cs="Arial"/>
      <w:iCs/>
      <w:sz w:val="16"/>
      <w:szCs w:val="16"/>
    </w:rPr>
  </w:style>
  <w:style w:type="paragraph" w:customStyle="1" w:styleId="FormFieldCaption">
    <w:name w:val="Form Field Caption"/>
    <w:basedOn w:val="Normal"/>
    <w:rsid w:val="00504DE6"/>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character" w:customStyle="1" w:styleId="highlight1">
    <w:name w:val="highlight1"/>
    <w:rsid w:val="00780AAA"/>
    <w:rPr>
      <w:shd w:val="clear" w:color="auto" w:fill="F2F5F8"/>
    </w:rPr>
  </w:style>
  <w:style w:type="paragraph" w:styleId="ListParagraph">
    <w:name w:val="List Paragraph"/>
    <w:basedOn w:val="Normal"/>
    <w:uiPriority w:val="34"/>
    <w:qFormat/>
    <w:rsid w:val="00780AAA"/>
    <w:pPr>
      <w:ind w:left="720"/>
    </w:pPr>
  </w:style>
  <w:style w:type="paragraph" w:styleId="NoSpacing">
    <w:name w:val="No Spacing"/>
    <w:uiPriority w:val="1"/>
    <w:qFormat/>
    <w:rsid w:val="00A02318"/>
    <w:pPr>
      <w:autoSpaceDE w:val="0"/>
      <w:autoSpaceDN w:val="0"/>
    </w:pPr>
    <w:rPr>
      <w:rFonts w:ascii="Arial" w:hAnsi="Arial"/>
      <w:sz w:val="22"/>
      <w:szCs w:val="24"/>
    </w:rPr>
  </w:style>
  <w:style w:type="character" w:styleId="FollowedHyperlink">
    <w:name w:val="FollowedHyperlink"/>
    <w:basedOn w:val="DefaultParagraphFont"/>
    <w:semiHidden/>
    <w:unhideWhenUsed/>
    <w:rsid w:val="004F6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cbi.nlm.nih.gov/sites/myncbi/1Xo9rXnyQzLAq/bibliography/46879329/public/?sort=date&amp;direction=ascendin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79</CR_ID>
    <Form_x0020_Set xmlns="97b54082-1e85-426d-afc6-16ad99d216c1">SF424</Form_x0020_Set>
    <Test_x0020_Comment xmlns="97b54082-1e85-426d-afc6-16ad99d216c1">5/13/2014 - started with REFERENCE COPY from 11/6/2013, sent to Vicki with questions. </Test_x0020_Comment>
    <OMB_x0020_No_x002e_ xmlns="97b54082-1e85-426d-afc6-16ad99d216c1">0925-0046</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3bae18068f040ef69a7191ab4c21a878">
  <xsd:schema xmlns:xsd="http://www.w3.org/2001/XMLSchema" xmlns:xs="http://www.w3.org/2001/XMLSchema" xmlns:p="http://schemas.microsoft.com/office/2006/metadata/properties" xmlns:ns2="97b54082-1e85-426d-afc6-16ad99d216c1" targetNamespace="http://schemas.microsoft.com/office/2006/metadata/properties" ma:root="true" ma:fieldsID="42210e7c6f9316f65fd1c8b5f11ddb6c"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7C992DDC-A0BB-4EB3-9035-5479F942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No. 0925-0046, Biographical Sketch - Pilot Format Page</vt:lpstr>
    </vt:vector>
  </TitlesOfParts>
  <Company>DHHS/PHS/NIH</Company>
  <LinksUpToDate>false</LinksUpToDate>
  <CharactersWithSpaces>16876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 Pilot Format Page</dc:title>
  <dc:subject>DHHS, Public Health Service Grant Application</dc:subject>
  <dc:creator>Office of Extramural Programs</dc:creator>
  <cp:keywords>PHS Grant Application, 0925-0001/0002, (Rev. 08/12), Biographical Sketch Format Page</cp:keywords>
  <cp:lastModifiedBy>Ann Oakenfull</cp:lastModifiedBy>
  <cp:revision>2</cp:revision>
  <cp:lastPrinted>2011-03-11T19:43:00Z</cp:lastPrinted>
  <dcterms:created xsi:type="dcterms:W3CDTF">2016-02-05T22:34:00Z</dcterms:created>
  <dcterms:modified xsi:type="dcterms:W3CDTF">2016-02-05T22:34:00Z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